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7E" w:rsidRPr="009D3C75" w:rsidRDefault="00F7427E" w:rsidP="00F7427E">
      <w:pPr>
        <w:ind w:firstLine="709"/>
        <w:rPr>
          <w:b/>
          <w:color w:val="000000"/>
          <w:sz w:val="24"/>
          <w:szCs w:val="24"/>
        </w:rPr>
      </w:pPr>
      <w:r w:rsidRPr="009D3C75">
        <w:rPr>
          <w:b/>
          <w:color w:val="000000"/>
          <w:sz w:val="24"/>
          <w:szCs w:val="24"/>
        </w:rPr>
        <w:t xml:space="preserve">ОТВЕТСТВЕННОСТЬ ЗА СОВЕРШЕНИЕ ПРЕСТУПЛЕНИЙ </w:t>
      </w:r>
      <w:r>
        <w:rPr>
          <w:b/>
          <w:color w:val="000000"/>
          <w:sz w:val="24"/>
          <w:szCs w:val="24"/>
        </w:rPr>
        <w:t xml:space="preserve">И ПРАВОНАРУШЕНИЙ </w:t>
      </w:r>
      <w:r w:rsidRPr="009D3C75">
        <w:rPr>
          <w:b/>
          <w:color w:val="000000"/>
          <w:sz w:val="24"/>
          <w:szCs w:val="24"/>
        </w:rPr>
        <w:t>ЭКСТРЕМИСТСКОЙ НАПРАВЛЕННОСТИ</w:t>
      </w:r>
      <w:r>
        <w:rPr>
          <w:b/>
          <w:color w:val="000000"/>
          <w:sz w:val="24"/>
          <w:szCs w:val="24"/>
        </w:rPr>
        <w:t>, А ТАКЖЕ ЗА УЧАСТИЕ В НЕСОГЛАСОВАННЫХ МАССОВЫХ МЕРОПРИЯТИЯХ</w:t>
      </w:r>
    </w:p>
    <w:p w:rsidR="00F7427E" w:rsidRPr="009D3C75" w:rsidRDefault="00F7427E" w:rsidP="00F7427E">
      <w:pPr>
        <w:ind w:firstLine="709"/>
        <w:jc w:val="both"/>
        <w:rPr>
          <w:color w:val="000000"/>
          <w:sz w:val="24"/>
          <w:szCs w:val="24"/>
        </w:rPr>
      </w:pPr>
    </w:p>
    <w:p w:rsidR="00F7427E" w:rsidRPr="00E71DF5" w:rsidRDefault="00F7427E" w:rsidP="00F7427E">
      <w:pPr>
        <w:ind w:firstLine="709"/>
        <w:jc w:val="both"/>
        <w:rPr>
          <w:color w:val="000000"/>
          <w:sz w:val="28"/>
          <w:szCs w:val="28"/>
        </w:rPr>
      </w:pPr>
      <w:r w:rsidRPr="00E71DF5">
        <w:rPr>
          <w:color w:val="000000"/>
          <w:sz w:val="28"/>
          <w:szCs w:val="28"/>
        </w:rPr>
        <w:t xml:space="preserve">Понятие экстремизма приравнивается к понятию экстремистский деятельности, и формулируется как перечень активных действий, основная цель которых - разрушение единства общества, насильственное изменение основ конституционного строя. </w:t>
      </w:r>
    </w:p>
    <w:p w:rsidR="00F7427E" w:rsidRPr="00E71DF5" w:rsidRDefault="00F7427E" w:rsidP="00F7427E">
      <w:pPr>
        <w:ind w:firstLine="709"/>
        <w:jc w:val="both"/>
        <w:rPr>
          <w:color w:val="000000"/>
          <w:sz w:val="28"/>
          <w:szCs w:val="28"/>
        </w:rPr>
      </w:pPr>
      <w:r w:rsidRPr="00E71DF5">
        <w:rPr>
          <w:color w:val="000000"/>
          <w:sz w:val="28"/>
          <w:szCs w:val="28"/>
        </w:rPr>
        <w:t xml:space="preserve">Основные направления экстремистской деятельности: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воспрепятствование законной деятельности государственных органов. </w:t>
      </w:r>
    </w:p>
    <w:p w:rsidR="00F7427E" w:rsidRPr="00E71DF5" w:rsidRDefault="00F7427E" w:rsidP="00F7427E">
      <w:pPr>
        <w:ind w:firstLine="709"/>
        <w:jc w:val="both"/>
        <w:rPr>
          <w:color w:val="000000"/>
          <w:sz w:val="28"/>
          <w:szCs w:val="28"/>
        </w:rPr>
      </w:pPr>
      <w:r w:rsidRPr="00E71DF5">
        <w:rPr>
          <w:color w:val="000000"/>
          <w:sz w:val="28"/>
          <w:szCs w:val="28"/>
        </w:rPr>
        <w:t xml:space="preserve">За совершение экстремистских действий законодательством Российской федерации предусмотрена административная и уголовная ответственность. </w:t>
      </w:r>
    </w:p>
    <w:p w:rsidR="00F7427E" w:rsidRPr="00E71DF5" w:rsidRDefault="00F7427E" w:rsidP="00F7427E">
      <w:pPr>
        <w:ind w:firstLine="709"/>
        <w:jc w:val="both"/>
        <w:rPr>
          <w:color w:val="000000"/>
          <w:sz w:val="28"/>
          <w:szCs w:val="28"/>
        </w:rPr>
      </w:pPr>
      <w:r w:rsidRPr="00E71DF5">
        <w:rPr>
          <w:color w:val="000000"/>
          <w:sz w:val="28"/>
          <w:szCs w:val="28"/>
        </w:rPr>
        <w:t xml:space="preserve">Основания и порядок привлечения к административной ответственности за экстремистскую деятельность определены также в Кодексе об административных правонарушениях. </w:t>
      </w:r>
    </w:p>
    <w:p w:rsidR="00F7427E" w:rsidRPr="00E71DF5" w:rsidRDefault="00F7427E" w:rsidP="00F7427E">
      <w:pPr>
        <w:ind w:firstLine="709"/>
        <w:jc w:val="both"/>
        <w:rPr>
          <w:color w:val="000000"/>
          <w:sz w:val="28"/>
          <w:szCs w:val="28"/>
        </w:rPr>
      </w:pPr>
      <w:r w:rsidRPr="00E71DF5">
        <w:rPr>
          <w:color w:val="000000"/>
          <w:sz w:val="28"/>
          <w:szCs w:val="28"/>
        </w:rPr>
        <w:t xml:space="preserve">Ответственность предусмотрена, в том числе за такие противоправные действия, как нарушение законодательства о свободе совести, свободе вероисповедания и о религиозных объединениях (ст. 5.26 </w:t>
      </w:r>
      <w:proofErr w:type="spellStart"/>
      <w:r w:rsidRPr="00E71DF5">
        <w:rPr>
          <w:color w:val="000000"/>
          <w:sz w:val="28"/>
          <w:szCs w:val="28"/>
        </w:rPr>
        <w:t>КоАП</w:t>
      </w:r>
      <w:proofErr w:type="spellEnd"/>
      <w:r w:rsidRPr="00E71DF5">
        <w:rPr>
          <w:color w:val="000000"/>
          <w:sz w:val="28"/>
          <w:szCs w:val="28"/>
        </w:rPr>
        <w:t xml:space="preserve"> РФ); пропаганда и публичное демонстрирование нацистской атрибутики или символики (ст. 20.3 </w:t>
      </w:r>
      <w:proofErr w:type="spellStart"/>
      <w:r w:rsidRPr="00E71DF5">
        <w:rPr>
          <w:color w:val="000000"/>
          <w:sz w:val="28"/>
          <w:szCs w:val="28"/>
        </w:rPr>
        <w:t>КоАП</w:t>
      </w:r>
      <w:proofErr w:type="spellEnd"/>
      <w:r w:rsidRPr="00E71DF5">
        <w:rPr>
          <w:color w:val="000000"/>
          <w:sz w:val="28"/>
          <w:szCs w:val="28"/>
        </w:rPr>
        <w:t xml:space="preserve"> РФ); производство и распространение экстремистских материалов (ст. 20.29 </w:t>
      </w:r>
      <w:proofErr w:type="spellStart"/>
      <w:r w:rsidRPr="00E71DF5">
        <w:rPr>
          <w:color w:val="000000"/>
          <w:sz w:val="28"/>
          <w:szCs w:val="28"/>
        </w:rPr>
        <w:t>КоАП</w:t>
      </w:r>
      <w:proofErr w:type="spellEnd"/>
      <w:r w:rsidRPr="00E71DF5">
        <w:rPr>
          <w:color w:val="000000"/>
          <w:sz w:val="28"/>
          <w:szCs w:val="28"/>
        </w:rPr>
        <w:t xml:space="preserve"> РФ). </w:t>
      </w:r>
    </w:p>
    <w:p w:rsidR="00F7427E" w:rsidRPr="00E71DF5" w:rsidRDefault="00F7427E" w:rsidP="00F7427E">
      <w:pPr>
        <w:ind w:firstLine="709"/>
        <w:jc w:val="both"/>
        <w:rPr>
          <w:color w:val="000000"/>
          <w:sz w:val="28"/>
          <w:szCs w:val="28"/>
        </w:rPr>
      </w:pPr>
      <w:r w:rsidRPr="00E71DF5">
        <w:rPr>
          <w:color w:val="000000"/>
          <w:sz w:val="28"/>
          <w:szCs w:val="28"/>
        </w:rPr>
        <w:t xml:space="preserve">Уголовным Кодексом Российской Федерации установлена уголовная ответственность за совершение преступлений экстремистской направленности. При этом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соответствии со статьей 63 УК РФ  рассматривается в качестве отягчающего обстоятельства. </w:t>
      </w:r>
    </w:p>
    <w:p w:rsidR="00F7427E" w:rsidRPr="00E71DF5" w:rsidRDefault="00F7427E" w:rsidP="00F7427E">
      <w:pPr>
        <w:ind w:firstLine="709"/>
        <w:jc w:val="both"/>
        <w:rPr>
          <w:color w:val="000000"/>
          <w:sz w:val="28"/>
          <w:szCs w:val="28"/>
        </w:rPr>
      </w:pPr>
      <w:proofErr w:type="gramStart"/>
      <w:r w:rsidRPr="00E71DF5">
        <w:rPr>
          <w:color w:val="000000"/>
          <w:sz w:val="28"/>
          <w:szCs w:val="28"/>
        </w:rPr>
        <w:t xml:space="preserve">Кроме того, УК РФ предусматривает отдельные виды преступлений, имеющих экстремистский характер: статья 213 ч.1 п. </w:t>
      </w:r>
      <w:proofErr w:type="gramEnd"/>
      <w:r>
        <w:rPr>
          <w:color w:val="000000"/>
          <w:sz w:val="28"/>
          <w:szCs w:val="28"/>
        </w:rPr>
        <w:t>«</w:t>
      </w:r>
      <w:r w:rsidRPr="00E71DF5">
        <w:rPr>
          <w:color w:val="000000"/>
          <w:sz w:val="28"/>
          <w:szCs w:val="28"/>
        </w:rPr>
        <w:t>б</w:t>
      </w:r>
      <w:r>
        <w:rPr>
          <w:color w:val="000000"/>
          <w:sz w:val="28"/>
          <w:szCs w:val="28"/>
        </w:rPr>
        <w:t>»</w:t>
      </w:r>
      <w:r w:rsidRPr="00E71DF5">
        <w:rPr>
          <w:color w:val="000000"/>
          <w:sz w:val="28"/>
          <w:szCs w:val="28"/>
        </w:rPr>
        <w:t xml:space="preserve"> - хулиганство, то есть грубое нарушение общественного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w:t>
      </w:r>
    </w:p>
    <w:p w:rsidR="00F7427E" w:rsidRPr="00E71DF5" w:rsidRDefault="00F7427E" w:rsidP="00F7427E">
      <w:pPr>
        <w:ind w:firstLine="709"/>
        <w:jc w:val="both"/>
        <w:rPr>
          <w:color w:val="000000"/>
          <w:sz w:val="28"/>
          <w:szCs w:val="28"/>
        </w:rPr>
      </w:pPr>
      <w:r w:rsidRPr="00E71DF5">
        <w:rPr>
          <w:color w:val="000000"/>
          <w:sz w:val="28"/>
          <w:szCs w:val="28"/>
        </w:rPr>
        <w:t xml:space="preserve">При этом ответственности за осуществление экстремистской деятельности подлежат не только физические лица - граждане, должностные </w:t>
      </w:r>
      <w:r w:rsidRPr="00E71DF5">
        <w:rPr>
          <w:color w:val="000000"/>
          <w:sz w:val="28"/>
          <w:szCs w:val="28"/>
        </w:rPr>
        <w:lastRenderedPageBreak/>
        <w:t xml:space="preserve">лица, но и политические партии, общественные (религиозные) объединения, средства массовой информации, иные организации. Так, в случае осуществления общественным или религиозным объединением, либо иной организацией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w:t>
      </w:r>
    </w:p>
    <w:p w:rsidR="00F7427E" w:rsidRDefault="00F7427E" w:rsidP="00F7427E">
      <w:pPr>
        <w:ind w:firstLine="709"/>
        <w:jc w:val="both"/>
        <w:rPr>
          <w:color w:val="000000"/>
          <w:sz w:val="28"/>
          <w:szCs w:val="28"/>
        </w:rPr>
      </w:pPr>
      <w:r w:rsidRPr="00E71DF5">
        <w:rPr>
          <w:color w:val="000000"/>
          <w:sz w:val="28"/>
          <w:szCs w:val="28"/>
        </w:rPr>
        <w:t xml:space="preserve">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объединение, иная организация могут быть ликвидированы, а деятельность общественного или религиозного объединения может быть запрещена по решению суда. </w:t>
      </w:r>
    </w:p>
    <w:p w:rsidR="00F7427E" w:rsidRDefault="00F7427E" w:rsidP="00F7427E">
      <w:pPr>
        <w:ind w:firstLine="709"/>
        <w:jc w:val="both"/>
        <w:rPr>
          <w:color w:val="000000"/>
          <w:sz w:val="28"/>
          <w:szCs w:val="28"/>
        </w:rPr>
      </w:pPr>
      <w:r>
        <w:rPr>
          <w:color w:val="000000"/>
          <w:sz w:val="28"/>
          <w:szCs w:val="28"/>
        </w:rPr>
        <w:t>Кроме этого, по</w:t>
      </w:r>
      <w:r w:rsidRPr="00E71DF5">
        <w:rPr>
          <w:color w:val="000000"/>
          <w:sz w:val="28"/>
          <w:szCs w:val="28"/>
        </w:rPr>
        <w:t xml:space="preserve"> решению суда может быть прекращена также деятельность средства массовой информации, в случае осуществления средством массовой информации экстремистской деятельности.</w:t>
      </w:r>
    </w:p>
    <w:p w:rsidR="00F7427E" w:rsidRDefault="00F7427E" w:rsidP="00F7427E">
      <w:pPr>
        <w:ind w:firstLine="709"/>
        <w:jc w:val="both"/>
        <w:rPr>
          <w:color w:val="000000"/>
          <w:sz w:val="28"/>
          <w:szCs w:val="28"/>
        </w:rPr>
      </w:pPr>
      <w:r>
        <w:rPr>
          <w:color w:val="000000"/>
          <w:sz w:val="28"/>
          <w:szCs w:val="28"/>
        </w:rPr>
        <w:t>Особого внимания заслуживает вопрос ответственности за участие, организацию либо проведение несогласованного массового публичного мероприятия.</w:t>
      </w:r>
    </w:p>
    <w:p w:rsidR="00F7427E" w:rsidRDefault="00F7427E" w:rsidP="00F7427E">
      <w:pPr>
        <w:ind w:firstLine="709"/>
        <w:jc w:val="both"/>
        <w:rPr>
          <w:color w:val="000000"/>
          <w:sz w:val="28"/>
          <w:szCs w:val="28"/>
        </w:rPr>
      </w:pPr>
      <w:r>
        <w:rPr>
          <w:color w:val="000000"/>
          <w:sz w:val="28"/>
          <w:szCs w:val="28"/>
        </w:rPr>
        <w:t xml:space="preserve">В последнее время указанные мероприятия проводились практически во всех городах Российской Федерации. </w:t>
      </w:r>
    </w:p>
    <w:p w:rsidR="00F7427E" w:rsidRDefault="00F7427E" w:rsidP="00F7427E">
      <w:pPr>
        <w:ind w:firstLine="709"/>
        <w:jc w:val="both"/>
        <w:rPr>
          <w:color w:val="000000"/>
          <w:sz w:val="28"/>
          <w:szCs w:val="28"/>
        </w:rPr>
      </w:pPr>
      <w:r>
        <w:rPr>
          <w:color w:val="000000"/>
          <w:sz w:val="28"/>
          <w:szCs w:val="28"/>
        </w:rPr>
        <w:t>Как правило, их организаторы в нарушение установленного порядка осуществляют призывы для участия в них широкого круга граждан, а также вовлекают несовершеннолетних лиц.</w:t>
      </w:r>
    </w:p>
    <w:p w:rsidR="00F7427E" w:rsidRDefault="00F7427E" w:rsidP="00F7427E">
      <w:pPr>
        <w:ind w:firstLine="709"/>
        <w:jc w:val="both"/>
        <w:rPr>
          <w:color w:val="000000"/>
          <w:sz w:val="28"/>
          <w:szCs w:val="28"/>
        </w:rPr>
      </w:pPr>
      <w:r>
        <w:rPr>
          <w:color w:val="000000"/>
          <w:sz w:val="28"/>
          <w:szCs w:val="28"/>
        </w:rPr>
        <w:t xml:space="preserve">За истекший период 2021 года за участие в несогласованных массовых мероприятиях в Ярославской области по части 5 статьи 20.2 </w:t>
      </w:r>
      <w:proofErr w:type="spellStart"/>
      <w:r>
        <w:rPr>
          <w:color w:val="000000"/>
          <w:sz w:val="28"/>
          <w:szCs w:val="28"/>
        </w:rPr>
        <w:t>КоАП</w:t>
      </w:r>
      <w:proofErr w:type="spellEnd"/>
      <w:r>
        <w:rPr>
          <w:color w:val="000000"/>
          <w:sz w:val="28"/>
          <w:szCs w:val="28"/>
        </w:rPr>
        <w:t xml:space="preserve"> РФ привлечено к административной ответственности в виде штрафов более 80 человек, основную массу из которых составляют молодые люди в возрасте от 18 до 25 лет. Организаторам несогласованных массовых мероприятий судами области назначены наказания по части 1 и 2 статьи 20.2 </w:t>
      </w:r>
      <w:proofErr w:type="spellStart"/>
      <w:r>
        <w:rPr>
          <w:color w:val="000000"/>
          <w:sz w:val="28"/>
          <w:szCs w:val="28"/>
        </w:rPr>
        <w:t>КоАП</w:t>
      </w:r>
      <w:proofErr w:type="spellEnd"/>
      <w:r>
        <w:rPr>
          <w:color w:val="000000"/>
          <w:sz w:val="28"/>
          <w:szCs w:val="28"/>
        </w:rPr>
        <w:t xml:space="preserve"> РФ в виде административных арестов на срок до 10 суток.  </w:t>
      </w:r>
    </w:p>
    <w:p w:rsidR="00F7427E" w:rsidRDefault="00F7427E" w:rsidP="00F7427E">
      <w:pPr>
        <w:ind w:firstLine="709"/>
        <w:jc w:val="both"/>
        <w:rPr>
          <w:color w:val="000000"/>
          <w:sz w:val="28"/>
          <w:szCs w:val="28"/>
        </w:rPr>
      </w:pPr>
      <w:r>
        <w:rPr>
          <w:color w:val="000000"/>
          <w:sz w:val="28"/>
          <w:szCs w:val="28"/>
        </w:rPr>
        <w:t xml:space="preserve">Как правило, данные несогласованные массовые мероприятия сопровождаются грубым нарушением общественного порядка, а лица, участвующие в них не осознают правовые последствия, которые могут возникнуть вследствие привлечения их к административной ответственности по вышеуказанной статье </w:t>
      </w:r>
      <w:proofErr w:type="spellStart"/>
      <w:r>
        <w:rPr>
          <w:color w:val="000000"/>
          <w:sz w:val="28"/>
          <w:szCs w:val="28"/>
        </w:rPr>
        <w:t>КоАП</w:t>
      </w:r>
      <w:proofErr w:type="spellEnd"/>
      <w:r>
        <w:rPr>
          <w:color w:val="000000"/>
          <w:sz w:val="28"/>
          <w:szCs w:val="28"/>
        </w:rPr>
        <w:t xml:space="preserve"> РФ. </w:t>
      </w:r>
    </w:p>
    <w:p w:rsidR="00F7427E" w:rsidRPr="009D3C75" w:rsidRDefault="00F7427E" w:rsidP="00F7427E">
      <w:pPr>
        <w:ind w:firstLine="709"/>
        <w:jc w:val="both"/>
        <w:rPr>
          <w:sz w:val="24"/>
          <w:szCs w:val="24"/>
        </w:rPr>
      </w:pPr>
      <w:r w:rsidRPr="009D3C75">
        <w:rPr>
          <w:color w:val="000000"/>
          <w:sz w:val="24"/>
          <w:szCs w:val="24"/>
        </w:rPr>
        <w:br/>
      </w:r>
    </w:p>
    <w:p w:rsidR="00C456AF" w:rsidRDefault="00C456AF"/>
    <w:sectPr w:rsidR="00C456AF" w:rsidSect="00C45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F7427E"/>
    <w:rsid w:val="00C456AF"/>
    <w:rsid w:val="00F74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7E"/>
    <w:pPr>
      <w:spacing w:after="0" w:line="240" w:lineRule="auto"/>
      <w:jc w:val="center"/>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neofitovaev</dc:creator>
  <cp:lastModifiedBy>neofitovaev</cp:lastModifiedBy>
  <cp:revision>1</cp:revision>
  <dcterms:created xsi:type="dcterms:W3CDTF">2021-04-21T11:18:00Z</dcterms:created>
  <dcterms:modified xsi:type="dcterms:W3CDTF">2021-04-21T11:20:00Z</dcterms:modified>
</cp:coreProperties>
</file>