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DEA0A" w14:textId="691BEE37" w:rsidR="00C814DB" w:rsidRDefault="00C814DB" w:rsidP="00C814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5A">
        <w:rPr>
          <w:rFonts w:ascii="Times New Roman" w:hAnsi="Times New Roman" w:cs="Times New Roman"/>
          <w:b/>
          <w:sz w:val="28"/>
          <w:szCs w:val="28"/>
        </w:rPr>
        <w:t xml:space="preserve">РЕГЛАМЕНТ </w:t>
      </w:r>
    </w:p>
    <w:p w14:paraId="1EE23852" w14:textId="480D7535" w:rsidR="00C814DB" w:rsidRPr="00C814DB" w:rsidRDefault="00C814DB" w:rsidP="00C814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C814DB">
        <w:rPr>
          <w:rFonts w:ascii="Times New Roman" w:hAnsi="Times New Roman" w:cs="Times New Roman"/>
          <w:bCs/>
          <w:sz w:val="28"/>
          <w:szCs w:val="28"/>
        </w:rPr>
        <w:t>акатона</w:t>
      </w:r>
      <w:proofErr w:type="spellEnd"/>
      <w:r w:rsidRPr="00C814DB">
        <w:rPr>
          <w:rFonts w:ascii="Times New Roman" w:hAnsi="Times New Roman" w:cs="Times New Roman"/>
          <w:bCs/>
          <w:sz w:val="28"/>
          <w:szCs w:val="28"/>
        </w:rPr>
        <w:t xml:space="preserve"> по развитию рынка краудфандинга </w:t>
      </w:r>
    </w:p>
    <w:p w14:paraId="4E365CAE" w14:textId="77777777" w:rsidR="00C814DB" w:rsidRPr="00C814DB" w:rsidRDefault="00C814DB" w:rsidP="00C814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4DB">
        <w:rPr>
          <w:rFonts w:ascii="Times New Roman" w:hAnsi="Times New Roman" w:cs="Times New Roman"/>
          <w:bCs/>
          <w:sz w:val="28"/>
          <w:szCs w:val="28"/>
        </w:rPr>
        <w:t xml:space="preserve">в рамках проведения </w:t>
      </w:r>
    </w:p>
    <w:p w14:paraId="67975BA2" w14:textId="6F8EA3FF" w:rsidR="00C814DB" w:rsidRPr="00C814DB" w:rsidRDefault="00C814DB" w:rsidP="00C814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814DB">
        <w:rPr>
          <w:rFonts w:ascii="Times New Roman" w:hAnsi="Times New Roman" w:cs="Times New Roman"/>
          <w:bCs/>
          <w:sz w:val="28"/>
          <w:szCs w:val="28"/>
        </w:rPr>
        <w:t>ХI</w:t>
      </w:r>
      <w:r w:rsidRPr="00C814D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C814DB">
        <w:rPr>
          <w:rFonts w:ascii="Times New Roman" w:hAnsi="Times New Roman" w:cs="Times New Roman"/>
          <w:bCs/>
          <w:sz w:val="28"/>
          <w:szCs w:val="28"/>
        </w:rPr>
        <w:t xml:space="preserve"> Всероссийской студенческой олимпиады по экономике и менеджменту</w:t>
      </w:r>
    </w:p>
    <w:p w14:paraId="34A33862" w14:textId="77777777" w:rsidR="00C814DB" w:rsidRDefault="00C814DB" w:rsidP="00C814DB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B6DBF8" w14:textId="77777777" w:rsidR="00C814DB" w:rsidRPr="00656B56" w:rsidRDefault="00C814DB" w:rsidP="00C814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5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2621A72A" w14:textId="7263628D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F34">
        <w:rPr>
          <w:rFonts w:ascii="Times New Roman" w:hAnsi="Times New Roman" w:cs="Times New Roman"/>
          <w:bCs/>
          <w:sz w:val="28"/>
          <w:szCs w:val="28"/>
        </w:rPr>
        <w:t xml:space="preserve">1.1. Регламент проведения </w:t>
      </w:r>
      <w:proofErr w:type="spellStart"/>
      <w:r w:rsidRPr="004D6F34"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4D6F34">
        <w:rPr>
          <w:rFonts w:ascii="Times New Roman" w:hAnsi="Times New Roman" w:cs="Times New Roman"/>
          <w:bCs/>
          <w:sz w:val="28"/>
          <w:szCs w:val="28"/>
        </w:rPr>
        <w:t xml:space="preserve"> по развитию рынка краудфандинга в рамках проведения </w:t>
      </w:r>
      <w:r w:rsidRPr="00C814DB">
        <w:rPr>
          <w:rFonts w:ascii="Times New Roman" w:hAnsi="Times New Roman" w:cs="Times New Roman"/>
          <w:bCs/>
          <w:sz w:val="28"/>
          <w:szCs w:val="28"/>
        </w:rPr>
        <w:t>ХI</w:t>
      </w:r>
      <w:r w:rsidRPr="00C814D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 Всероссийской студенческой олимпиады по экономике</w:t>
      </w:r>
      <w:r w:rsidR="00E1066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менеджменту (далее –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</w:t>
      </w:r>
      <w:proofErr w:type="spellEnd"/>
      <w:r w:rsidRPr="004D6F34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разработан в соответствии с Положением о </w:t>
      </w:r>
      <w:r w:rsidRPr="00C814DB">
        <w:rPr>
          <w:rFonts w:ascii="Times New Roman" w:hAnsi="Times New Roman" w:cs="Times New Roman"/>
          <w:bCs/>
          <w:sz w:val="28"/>
          <w:szCs w:val="28"/>
        </w:rPr>
        <w:t>ХI</w:t>
      </w:r>
      <w:r w:rsidRPr="00C814D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 Всероссийской студенческой олимпиад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 по экономике</w:t>
      </w:r>
      <w:r w:rsidR="00E1066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4D6F34">
        <w:rPr>
          <w:rFonts w:ascii="Times New Roman" w:hAnsi="Times New Roman" w:cs="Times New Roman"/>
          <w:bCs/>
          <w:sz w:val="28"/>
          <w:szCs w:val="28"/>
        </w:rPr>
        <w:t>менеджменту (далее – Положение) и определяет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F34">
        <w:rPr>
          <w:rFonts w:ascii="Times New Roman" w:hAnsi="Times New Roman" w:cs="Times New Roman"/>
          <w:bCs/>
          <w:sz w:val="28"/>
          <w:szCs w:val="28"/>
        </w:rPr>
        <w:t>формат и порядок проведения, правила участия и установления победителей и призеров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416C9A6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946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.2</w:t>
      </w:r>
      <w:r w:rsidRPr="00247946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 w:rsidRPr="00DE4C1E">
        <w:rPr>
          <w:rFonts w:ascii="Times New Roman" w:hAnsi="Times New Roman" w:cs="Times New Roman"/>
          <w:bCs/>
          <w:sz w:val="28"/>
          <w:szCs w:val="28"/>
        </w:rPr>
        <w:t>Место проведения Олимпиады – г. Ярославль, Московский проспект 88, ФГБОУ ВО «Ярославский государственный технический университет». Участие во всех мероприятиях Олимпиады также возможно в удаленном режиме с использованием онлайн платформ видео связи. Данные для подключения направляются участникам в рабочем порядке.</w:t>
      </w:r>
    </w:p>
    <w:p w14:paraId="2942EBE1" w14:textId="77777777" w:rsidR="00C814DB" w:rsidRPr="004D6F34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1.3. </w:t>
      </w:r>
      <w:r w:rsidRPr="004D6F34">
        <w:rPr>
          <w:rFonts w:ascii="Times New Roman" w:hAnsi="Times New Roman" w:cs="Times New Roman"/>
          <w:bCs/>
          <w:sz w:val="28"/>
          <w:szCs w:val="28"/>
        </w:rPr>
        <w:t>Сроки регистрации, отбора команд, получающих приглашение к участию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Хакатоне</w:t>
      </w:r>
      <w:proofErr w:type="spellEnd"/>
      <w:r w:rsidRPr="004D6F34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F34">
        <w:rPr>
          <w:rFonts w:ascii="Times New Roman" w:hAnsi="Times New Roman" w:cs="Times New Roman"/>
          <w:bCs/>
          <w:sz w:val="28"/>
          <w:szCs w:val="28"/>
        </w:rPr>
        <w:t>устанавливаются календарным планом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977"/>
        <w:gridCol w:w="7368"/>
      </w:tblGrid>
      <w:tr w:rsidR="00C814DB" w:rsidRPr="004D6F34" w14:paraId="4245E860" w14:textId="77777777" w:rsidTr="00667EE2">
        <w:tc>
          <w:tcPr>
            <w:tcW w:w="1058" w:type="pct"/>
          </w:tcPr>
          <w:p w14:paraId="075FD2E9" w14:textId="77777777" w:rsidR="00C814DB" w:rsidRPr="004D6F34" w:rsidRDefault="00C814DB" w:rsidP="00667E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F34">
              <w:rPr>
                <w:rFonts w:ascii="Times New Roman" w:hAnsi="Times New Roman" w:cs="Times New Roman"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3942" w:type="pct"/>
          </w:tcPr>
          <w:p w14:paraId="022AE2A8" w14:textId="77777777" w:rsidR="00C814DB" w:rsidRPr="004D6F34" w:rsidRDefault="00C814DB" w:rsidP="00667EE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6F34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Мероприятие</w:t>
            </w:r>
          </w:p>
        </w:tc>
      </w:tr>
      <w:tr w:rsidR="00C814DB" w14:paraId="43B5575E" w14:textId="77777777" w:rsidTr="00C814DB">
        <w:tc>
          <w:tcPr>
            <w:tcW w:w="1058" w:type="pct"/>
            <w:vAlign w:val="center"/>
          </w:tcPr>
          <w:p w14:paraId="0EF07E33" w14:textId="3EB910BF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42" w:type="pct"/>
            <w:vAlign w:val="center"/>
          </w:tcPr>
          <w:p w14:paraId="3B263468" w14:textId="7777777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Информирование вузов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формирование команд. Регистрация участников.</w:t>
            </w:r>
          </w:p>
        </w:tc>
      </w:tr>
      <w:tr w:rsidR="00C814DB" w14:paraId="0EAE3487" w14:textId="77777777" w:rsidTr="00C814DB">
        <w:tc>
          <w:tcPr>
            <w:tcW w:w="1058" w:type="pct"/>
            <w:vAlign w:val="center"/>
          </w:tcPr>
          <w:p w14:paraId="1EE585F8" w14:textId="1429B5AC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14.03 – 25.03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42" w:type="pct"/>
            <w:vAlign w:val="center"/>
          </w:tcPr>
          <w:p w14:paraId="6651463F" w14:textId="77777777" w:rsidR="00C814D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участников 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лекций по тематике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предложенных кейсов</w:t>
            </w:r>
            <w:r w:rsidRPr="005309B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расписание лекций будет доведено до участников в рабочем порядке).</w:t>
            </w:r>
          </w:p>
          <w:p w14:paraId="5700BFD8" w14:textId="77777777" w:rsidR="00C814D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Сбор решений для проведения первичного отбора победителей для последующего формирования списка участников финала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2CC9CF5" w14:textId="7777777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F7D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предварительных этапов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BF7DB7">
              <w:rPr>
                <w:rFonts w:ascii="Times New Roman" w:hAnsi="Times New Roman" w:cs="Times New Roman"/>
                <w:sz w:val="28"/>
                <w:szCs w:val="28"/>
              </w:rPr>
              <w:t>акатона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4DB" w14:paraId="170E6551" w14:textId="77777777" w:rsidTr="00C814DB">
        <w:tc>
          <w:tcPr>
            <w:tcW w:w="1058" w:type="pct"/>
            <w:vAlign w:val="center"/>
          </w:tcPr>
          <w:p w14:paraId="4C21EA7F" w14:textId="05ACEA1E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28.03 – 30.03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42" w:type="pct"/>
            <w:vAlign w:val="center"/>
          </w:tcPr>
          <w:p w14:paraId="4C2DE09B" w14:textId="7777777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Рассмотрение жюри представленных на конкурс работ для участия в финале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F7DB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работы принимаются в виде готовых презентационных материалов до 10 слайдов и текстовой аннотации к решениям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14DB" w14:paraId="0A7F2833" w14:textId="77777777" w:rsidTr="00C814DB">
        <w:tc>
          <w:tcPr>
            <w:tcW w:w="1058" w:type="pct"/>
            <w:vAlign w:val="center"/>
          </w:tcPr>
          <w:p w14:paraId="1E518116" w14:textId="2899A99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30.03.2022</w:t>
            </w:r>
          </w:p>
        </w:tc>
        <w:tc>
          <w:tcPr>
            <w:tcW w:w="3942" w:type="pct"/>
            <w:vAlign w:val="center"/>
          </w:tcPr>
          <w:p w14:paraId="37D1E65C" w14:textId="7777777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жеребьевка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 финалистов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Хакатона</w:t>
            </w:r>
            <w:proofErr w:type="spellEnd"/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814DB" w14:paraId="184CA160" w14:textId="77777777" w:rsidTr="00C814DB">
        <w:tc>
          <w:tcPr>
            <w:tcW w:w="1058" w:type="pct"/>
            <w:vAlign w:val="center"/>
          </w:tcPr>
          <w:p w14:paraId="4B35D8A9" w14:textId="4C65E585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942" w:type="pct"/>
            <w:vAlign w:val="center"/>
          </w:tcPr>
          <w:p w14:paraId="6BC5A4B5" w14:textId="77777777" w:rsidR="00C814DB" w:rsidRPr="000B7D6B" w:rsidRDefault="00C814DB" w:rsidP="00C81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финального этапа конкурса в </w:t>
            </w:r>
            <w:r w:rsidRPr="00E959AD">
              <w:rPr>
                <w:rFonts w:ascii="Times New Roman" w:hAnsi="Times New Roman" w:cs="Times New Roman"/>
                <w:bCs/>
                <w:sz w:val="28"/>
                <w:szCs w:val="28"/>
              </w:rPr>
              <w:t>очно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E959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в дистанционно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Pr="00E959A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формах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экспертов. Презентация решений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кейсов</w:t>
            </w:r>
            <w:r w:rsidRPr="000B7D6B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участниками, выбор победителей, награждение.</w:t>
            </w:r>
          </w:p>
        </w:tc>
      </w:tr>
    </w:tbl>
    <w:p w14:paraId="4ED7AFD3" w14:textId="77777777" w:rsidR="00C814DB" w:rsidRDefault="00C814DB" w:rsidP="00C814D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810439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6F34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F7DB7">
        <w:rPr>
          <w:rFonts w:ascii="Times New Roman" w:hAnsi="Times New Roman" w:cs="Times New Roman"/>
          <w:bCs/>
          <w:sz w:val="28"/>
          <w:szCs w:val="28"/>
        </w:rPr>
        <w:t xml:space="preserve">Организатором </w:t>
      </w:r>
      <w:proofErr w:type="spellStart"/>
      <w:r w:rsidRPr="00BF7DB7"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BF7DB7">
        <w:rPr>
          <w:rFonts w:ascii="Times New Roman" w:hAnsi="Times New Roman" w:cs="Times New Roman"/>
          <w:bCs/>
          <w:sz w:val="28"/>
          <w:szCs w:val="28"/>
        </w:rPr>
        <w:t xml:space="preserve"> являются ФГБОУ ВО «Ярославский государственный технический университет» (далее – Организатор). Организатор может привлека</w:t>
      </w:r>
      <w:r w:rsidRPr="004D6F34">
        <w:rPr>
          <w:rFonts w:ascii="Times New Roman" w:hAnsi="Times New Roman" w:cs="Times New Roman"/>
          <w:bCs/>
          <w:sz w:val="28"/>
          <w:szCs w:val="28"/>
        </w:rPr>
        <w:t xml:space="preserve">ть к проведению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4D6F34">
        <w:rPr>
          <w:rFonts w:ascii="Times New Roman" w:hAnsi="Times New Roman" w:cs="Times New Roman"/>
          <w:bCs/>
          <w:sz w:val="28"/>
          <w:szCs w:val="28"/>
        </w:rPr>
        <w:t xml:space="preserve"> региональные органы государственной власти, </w:t>
      </w:r>
      <w:r>
        <w:rPr>
          <w:rFonts w:ascii="Times New Roman" w:hAnsi="Times New Roman" w:cs="Times New Roman"/>
          <w:bCs/>
          <w:sz w:val="28"/>
          <w:szCs w:val="28"/>
        </w:rPr>
        <w:t>коммерческие организации</w:t>
      </w:r>
      <w:r w:rsidRPr="004D6F34">
        <w:rPr>
          <w:rFonts w:ascii="Times New Roman" w:hAnsi="Times New Roman" w:cs="Times New Roman"/>
          <w:bCs/>
          <w:sz w:val="28"/>
          <w:szCs w:val="28"/>
        </w:rPr>
        <w:t>, научные и общественные организации, средства массовой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F34">
        <w:rPr>
          <w:rFonts w:ascii="Times New Roman" w:hAnsi="Times New Roman" w:cs="Times New Roman"/>
          <w:bCs/>
          <w:sz w:val="28"/>
          <w:szCs w:val="28"/>
        </w:rPr>
        <w:t>информации, организации, осуществляющие образовательную деятельность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D6F34">
        <w:rPr>
          <w:rFonts w:ascii="Times New Roman" w:hAnsi="Times New Roman" w:cs="Times New Roman"/>
          <w:bCs/>
          <w:sz w:val="28"/>
          <w:szCs w:val="28"/>
        </w:rPr>
        <w:t>образовательным программам высшего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478BDEFD" w14:textId="77777777" w:rsidR="00C814DB" w:rsidRPr="00E959AD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1.5.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</w:t>
      </w:r>
      <w:proofErr w:type="spellEnd"/>
      <w:r w:rsidRPr="00E959AD">
        <w:rPr>
          <w:rFonts w:ascii="Times New Roman" w:hAnsi="Times New Roman" w:cs="Times New Roman"/>
          <w:bCs/>
          <w:sz w:val="28"/>
          <w:szCs w:val="28"/>
        </w:rPr>
        <w:t xml:space="preserve"> проводится в формате публичных защит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9AD">
        <w:rPr>
          <w:rFonts w:ascii="Times New Roman" w:hAnsi="Times New Roman" w:cs="Times New Roman"/>
          <w:bCs/>
          <w:sz w:val="28"/>
          <w:szCs w:val="28"/>
        </w:rPr>
        <w:t>командами решений кейс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E959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5BF67968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9AD">
        <w:rPr>
          <w:rFonts w:ascii="Times New Roman" w:hAnsi="Times New Roman" w:cs="Times New Roman"/>
          <w:bCs/>
          <w:sz w:val="28"/>
          <w:szCs w:val="28"/>
        </w:rPr>
        <w:t xml:space="preserve">1.6. Мероприятия и конкурсные процедуры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959AD">
        <w:rPr>
          <w:rFonts w:ascii="Times New Roman" w:hAnsi="Times New Roman" w:cs="Times New Roman"/>
          <w:bCs/>
          <w:sz w:val="28"/>
          <w:szCs w:val="28"/>
        </w:rPr>
        <w:t>проводятся как в очно</w:t>
      </w:r>
      <w:r>
        <w:rPr>
          <w:rFonts w:ascii="Times New Roman" w:hAnsi="Times New Roman" w:cs="Times New Roman"/>
          <w:bCs/>
          <w:sz w:val="28"/>
          <w:szCs w:val="28"/>
        </w:rPr>
        <w:t>й, так и в дистанционной формах</w:t>
      </w:r>
      <w:r w:rsidRPr="00E959AD">
        <w:rPr>
          <w:rFonts w:ascii="Times New Roman" w:hAnsi="Times New Roman" w:cs="Times New Roman"/>
          <w:bCs/>
          <w:sz w:val="28"/>
          <w:szCs w:val="28"/>
        </w:rPr>
        <w:t>.</w:t>
      </w:r>
    </w:p>
    <w:p w14:paraId="0D3B8E8F" w14:textId="77777777" w:rsidR="00C814DB" w:rsidRDefault="00C814DB" w:rsidP="00C814D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41CC7C6" w14:textId="77777777" w:rsidR="00C814DB" w:rsidRPr="00656B56" w:rsidRDefault="00C814DB" w:rsidP="00C814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B56">
        <w:rPr>
          <w:rFonts w:ascii="Times New Roman" w:hAnsi="Times New Roman" w:cs="Times New Roman"/>
          <w:b/>
          <w:sz w:val="28"/>
          <w:szCs w:val="28"/>
        </w:rPr>
        <w:t>2. Подготовка команд к отборочному и финальному этапам</w:t>
      </w:r>
    </w:p>
    <w:p w14:paraId="7F28C6BA" w14:textId="4849F671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59AD">
        <w:rPr>
          <w:rFonts w:ascii="Times New Roman" w:hAnsi="Times New Roman" w:cs="Times New Roman"/>
          <w:bCs/>
          <w:sz w:val="28"/>
          <w:szCs w:val="28"/>
        </w:rPr>
        <w:t>2.1. Для участия в отборочном этапе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E959AD">
        <w:rPr>
          <w:rFonts w:ascii="Times New Roman" w:hAnsi="Times New Roman" w:cs="Times New Roman"/>
          <w:bCs/>
          <w:sz w:val="28"/>
          <w:szCs w:val="28"/>
        </w:rPr>
        <w:t xml:space="preserve"> необходимо сформировать команду в составе 3-х</w:t>
      </w:r>
      <w:r>
        <w:rPr>
          <w:rFonts w:ascii="Times New Roman" w:hAnsi="Times New Roman" w:cs="Times New Roman"/>
          <w:bCs/>
          <w:sz w:val="28"/>
          <w:szCs w:val="28"/>
        </w:rPr>
        <w:t xml:space="preserve"> человек и указать данные участников и руководителя команды в регистрационной карте. Требования к участникам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приведены в разделе 2 Положения </w:t>
      </w:r>
      <w:r w:rsidRPr="00C814DB">
        <w:rPr>
          <w:rFonts w:ascii="Times New Roman" w:hAnsi="Times New Roman" w:cs="Times New Roman"/>
          <w:bCs/>
          <w:sz w:val="28"/>
          <w:szCs w:val="28"/>
        </w:rPr>
        <w:t>ХI</w:t>
      </w:r>
      <w:r w:rsidRPr="00C814DB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5E045F">
        <w:rPr>
          <w:rFonts w:ascii="Times New Roman" w:hAnsi="Times New Roman" w:cs="Times New Roman"/>
          <w:bCs/>
          <w:sz w:val="28"/>
          <w:szCs w:val="28"/>
        </w:rPr>
        <w:t xml:space="preserve"> Всероссийской студенческой олимпиады по экономике</w:t>
      </w:r>
      <w:r w:rsidR="00E1066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5E045F">
        <w:rPr>
          <w:rFonts w:ascii="Times New Roman" w:hAnsi="Times New Roman" w:cs="Times New Roman"/>
          <w:bCs/>
          <w:sz w:val="28"/>
          <w:szCs w:val="28"/>
        </w:rPr>
        <w:t>менеджменту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A5CB891" w14:textId="153372AA" w:rsidR="00C814DB" w:rsidRPr="00E959AD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7DB7">
        <w:rPr>
          <w:rFonts w:ascii="Times New Roman" w:hAnsi="Times New Roman" w:cs="Times New Roman"/>
          <w:bCs/>
          <w:sz w:val="28"/>
          <w:szCs w:val="28"/>
        </w:rPr>
        <w:t xml:space="preserve">2.2. На решение кейса отборочного этапа командам отводится </w:t>
      </w:r>
      <w:r>
        <w:rPr>
          <w:rFonts w:ascii="Times New Roman" w:hAnsi="Times New Roman" w:cs="Times New Roman"/>
          <w:bCs/>
          <w:sz w:val="28"/>
          <w:szCs w:val="28"/>
        </w:rPr>
        <w:t>установленное организаторами время (объявляется дополнительно в рабочем порядке)</w:t>
      </w:r>
      <w:r w:rsidRPr="00BF7D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2217B34" w14:textId="77777777" w:rsidR="00C814DB" w:rsidRPr="00E959AD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2113">
        <w:rPr>
          <w:rFonts w:ascii="Times New Roman" w:hAnsi="Times New Roman" w:cs="Times New Roman"/>
          <w:bCs/>
          <w:sz w:val="28"/>
          <w:szCs w:val="28"/>
        </w:rPr>
        <w:t xml:space="preserve">2.3. К отборочному этапу команда должна подготовить аннотацию к решению в виде 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текстового документа от 10 страниц (14 шрифт 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Times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New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  <w:lang w:val="en-US"/>
        </w:rPr>
        <w:t>Roman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</w:rPr>
        <w:t>, междустрочный интервал - 1,5 см, обязательное наличие титульного листа, списка использованных источников и описание предложений по каждому из четырех кейсов) и соответствующую презентацию</w:t>
      </w:r>
      <w:r w:rsidRPr="007D21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2113">
        <w:rPr>
          <w:rFonts w:ascii="Times New Roman" w:hAnsi="Times New Roman" w:cs="Times New Roman"/>
          <w:bCs/>
          <w:i/>
          <w:iCs/>
          <w:sz w:val="28"/>
          <w:szCs w:val="28"/>
        </w:rPr>
        <w:t>до 10 слайдов</w:t>
      </w:r>
      <w:r w:rsidRPr="007D2113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803C47" w14:textId="5F996283" w:rsidR="00C814DB" w:rsidRPr="00375661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661">
        <w:rPr>
          <w:rFonts w:ascii="Times New Roman" w:hAnsi="Times New Roman" w:cs="Times New Roman"/>
          <w:bCs/>
          <w:sz w:val="28"/>
          <w:szCs w:val="28"/>
        </w:rPr>
        <w:t>2.4. В рамках подготовки решения кейса участникам предлагается прослушать тематические онлайн-лекции, присутствие на которых является обязательным этапом.</w:t>
      </w:r>
    </w:p>
    <w:p w14:paraId="57954715" w14:textId="77777777" w:rsidR="00C814DB" w:rsidRPr="00375661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661">
        <w:rPr>
          <w:rFonts w:ascii="Times New Roman" w:hAnsi="Times New Roman" w:cs="Times New Roman"/>
          <w:bCs/>
          <w:sz w:val="28"/>
          <w:szCs w:val="28"/>
        </w:rPr>
        <w:t xml:space="preserve">2.5. К финальному этапу команда может доработать аннотацию к решению и презентационные материалы согласно замечаниям экспертов на предварительном этапе </w:t>
      </w:r>
      <w:proofErr w:type="spellStart"/>
      <w:r w:rsidRPr="00375661"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37566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14D4E1EC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5661">
        <w:rPr>
          <w:rFonts w:ascii="Times New Roman" w:hAnsi="Times New Roman" w:cs="Times New Roman"/>
          <w:bCs/>
          <w:sz w:val="28"/>
          <w:szCs w:val="28"/>
        </w:rPr>
        <w:t xml:space="preserve">2.6. Определение очередности выступления команд (жеребьевка) проводится за день до финального этапа </w:t>
      </w:r>
      <w:proofErr w:type="spellStart"/>
      <w:r w:rsidRPr="00375661">
        <w:rPr>
          <w:rFonts w:ascii="Times New Roman" w:hAnsi="Times New Roman" w:cs="Times New Roman"/>
          <w:bCs/>
          <w:sz w:val="28"/>
          <w:szCs w:val="28"/>
        </w:rPr>
        <w:t>Хакатона</w:t>
      </w:r>
      <w:proofErr w:type="spellEnd"/>
      <w:r w:rsidRPr="0037566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5EBE6C9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2.7. На финальном этапе команда устно докладывает ключевые решения кейсов с демонстрацией презентации</w:t>
      </w:r>
      <w:r w:rsidRPr="0072015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E04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Каждой команде отводится на презентацию решения кейсов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10</w:t>
      </w:r>
      <w:r w:rsidRPr="005E045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минут.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3B7">
        <w:rPr>
          <w:rFonts w:ascii="Times New Roman" w:hAnsi="Times New Roman" w:cs="Times New Roman"/>
          <w:bCs/>
          <w:sz w:val="28"/>
          <w:szCs w:val="28"/>
        </w:rPr>
        <w:t xml:space="preserve">После завершения презентации эксперты могут задать вопросы </w:t>
      </w:r>
      <w:r>
        <w:rPr>
          <w:rFonts w:ascii="Times New Roman" w:hAnsi="Times New Roman" w:cs="Times New Roman"/>
          <w:bCs/>
          <w:sz w:val="28"/>
          <w:szCs w:val="28"/>
        </w:rPr>
        <w:t>для уточнения</w:t>
      </w:r>
      <w:r w:rsidRPr="003D73B7">
        <w:rPr>
          <w:rFonts w:ascii="Times New Roman" w:hAnsi="Times New Roman" w:cs="Times New Roman"/>
          <w:bCs/>
          <w:sz w:val="28"/>
          <w:szCs w:val="28"/>
        </w:rPr>
        <w:t xml:space="preserve"> отдельны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3D73B7">
        <w:rPr>
          <w:rFonts w:ascii="Times New Roman" w:hAnsi="Times New Roman" w:cs="Times New Roman"/>
          <w:bCs/>
          <w:sz w:val="28"/>
          <w:szCs w:val="28"/>
        </w:rPr>
        <w:t xml:space="preserve"> детал</w:t>
      </w:r>
      <w:r>
        <w:rPr>
          <w:rFonts w:ascii="Times New Roman" w:hAnsi="Times New Roman" w:cs="Times New Roman"/>
          <w:bCs/>
          <w:sz w:val="28"/>
          <w:szCs w:val="28"/>
        </w:rPr>
        <w:t>ей</w:t>
      </w:r>
      <w:r w:rsidRPr="003D73B7">
        <w:rPr>
          <w:rFonts w:ascii="Times New Roman" w:hAnsi="Times New Roman" w:cs="Times New Roman"/>
          <w:bCs/>
          <w:sz w:val="28"/>
          <w:szCs w:val="28"/>
        </w:rPr>
        <w:t xml:space="preserve"> выступления</w:t>
      </w:r>
      <w:r>
        <w:rPr>
          <w:rFonts w:ascii="Times New Roman" w:hAnsi="Times New Roman" w:cs="Times New Roman"/>
          <w:bCs/>
          <w:sz w:val="28"/>
          <w:szCs w:val="28"/>
        </w:rPr>
        <w:t>, а также</w:t>
      </w:r>
      <w:r w:rsidRPr="003D73B7">
        <w:rPr>
          <w:rFonts w:ascii="Times New Roman" w:hAnsi="Times New Roman" w:cs="Times New Roman"/>
          <w:bCs/>
          <w:sz w:val="28"/>
          <w:szCs w:val="28"/>
        </w:rPr>
        <w:t xml:space="preserve"> с целью оценки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D73B7">
        <w:rPr>
          <w:rFonts w:ascii="Times New Roman" w:hAnsi="Times New Roman" w:cs="Times New Roman"/>
          <w:bCs/>
          <w:sz w:val="28"/>
          <w:szCs w:val="28"/>
        </w:rPr>
        <w:t>уровня знаний и глубины проработки решени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й команды. </w:t>
      </w:r>
    </w:p>
    <w:p w14:paraId="060194E0" w14:textId="1A65204C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B8FF6A" w14:textId="77777777" w:rsidR="00C814DB" w:rsidRPr="00656B56" w:rsidRDefault="00C814DB" w:rsidP="00C814DB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Кейсы</w:t>
      </w:r>
      <w:r w:rsidRPr="00656B56">
        <w:rPr>
          <w:rFonts w:ascii="Times New Roman" w:hAnsi="Times New Roman" w:cs="Times New Roman"/>
          <w:b/>
          <w:sz w:val="28"/>
          <w:szCs w:val="28"/>
        </w:rPr>
        <w:t xml:space="preserve"> для проведения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656B56">
        <w:rPr>
          <w:rFonts w:ascii="Times New Roman" w:hAnsi="Times New Roman" w:cs="Times New Roman"/>
          <w:b/>
          <w:sz w:val="28"/>
          <w:szCs w:val="28"/>
        </w:rPr>
        <w:t>акатона</w:t>
      </w:r>
      <w:proofErr w:type="spellEnd"/>
    </w:p>
    <w:p w14:paraId="252B352A" w14:textId="3C63B44E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 Кейс № 1 на тему «П</w:t>
      </w:r>
      <w:r w:rsidRPr="00656B56">
        <w:rPr>
          <w:rFonts w:ascii="Times New Roman" w:hAnsi="Times New Roman" w:cs="Times New Roman"/>
          <w:b/>
          <w:sz w:val="28"/>
          <w:szCs w:val="28"/>
        </w:rPr>
        <w:t xml:space="preserve">оддержка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развития рынка </w:t>
      </w:r>
      <w:r w:rsidRPr="00656B56">
        <w:rPr>
          <w:rFonts w:ascii="Times New Roman" w:hAnsi="Times New Roman" w:cs="Times New Roman"/>
          <w:b/>
          <w:sz w:val="28"/>
          <w:szCs w:val="28"/>
        </w:rPr>
        <w:t>краудфандинга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5A353D1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Проблематика: </w:t>
      </w:r>
    </w:p>
    <w:p w14:paraId="65D33E4F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B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Правительство выделяет субсидии на компенсацию комиссий, которые берут за свои услуги </w:t>
      </w:r>
      <w:proofErr w:type="spellStart"/>
      <w:r w:rsidRPr="00656B56">
        <w:rPr>
          <w:rFonts w:ascii="Times New Roman" w:hAnsi="Times New Roman" w:cs="Times New Roman"/>
          <w:bCs/>
          <w:sz w:val="28"/>
          <w:szCs w:val="28"/>
        </w:rPr>
        <w:t>инвестплатформы</w:t>
      </w:r>
      <w:proofErr w:type="spellEnd"/>
      <w:r w:rsidRPr="00656B56">
        <w:rPr>
          <w:rFonts w:ascii="Times New Roman" w:hAnsi="Times New Roman" w:cs="Times New Roman"/>
          <w:bCs/>
          <w:sz w:val="28"/>
          <w:szCs w:val="28"/>
        </w:rPr>
        <w:t xml:space="preserve"> в пределах 5% (в среднем они составляют </w:t>
      </w:r>
      <w:proofErr w:type="gramStart"/>
      <w:r w:rsidRPr="00656B56">
        <w:rPr>
          <w:rFonts w:ascii="Times New Roman" w:hAnsi="Times New Roman" w:cs="Times New Roman"/>
          <w:bCs/>
          <w:sz w:val="28"/>
          <w:szCs w:val="28"/>
        </w:rPr>
        <w:t>3-4</w:t>
      </w:r>
      <w:proofErr w:type="gramEnd"/>
      <w:r w:rsidRPr="00656B56">
        <w:rPr>
          <w:rFonts w:ascii="Times New Roman" w:hAnsi="Times New Roman" w:cs="Times New Roman"/>
          <w:bCs/>
          <w:sz w:val="28"/>
          <w:szCs w:val="28"/>
        </w:rPr>
        <w:t>%). В июне 2021 года Минэкономразвития отобрало пять операторов инвестиционных платформ, которые получат из бюджета 20 млн рублей в качестве компенсаций за привлечение МСП к коллективному инвестированию. В 2022 и 2023 годах</w:t>
      </w:r>
      <w:r>
        <w:rPr>
          <w:rFonts w:ascii="Times New Roman" w:hAnsi="Times New Roman" w:cs="Times New Roman"/>
          <w:bCs/>
          <w:sz w:val="28"/>
          <w:szCs w:val="28"/>
        </w:rPr>
        <w:t>, как планируется,</w:t>
      </w:r>
      <w:r w:rsidRPr="00656B56">
        <w:rPr>
          <w:rFonts w:ascii="Times New Roman" w:hAnsi="Times New Roman" w:cs="Times New Roman"/>
          <w:bCs/>
          <w:sz w:val="28"/>
          <w:szCs w:val="28"/>
        </w:rPr>
        <w:t xml:space="preserve"> бюджет компенсаций составит </w:t>
      </w:r>
      <w:r>
        <w:rPr>
          <w:rFonts w:ascii="Times New Roman" w:hAnsi="Times New Roman" w:cs="Times New Roman"/>
          <w:bCs/>
          <w:sz w:val="28"/>
          <w:szCs w:val="28"/>
        </w:rPr>
        <w:t xml:space="preserve">75 </w:t>
      </w:r>
      <w:r w:rsidRPr="00656B56">
        <w:rPr>
          <w:rFonts w:ascii="Times New Roman" w:hAnsi="Times New Roman" w:cs="Times New Roman"/>
          <w:bCs/>
          <w:sz w:val="28"/>
          <w:szCs w:val="28"/>
        </w:rPr>
        <w:t xml:space="preserve">млн рублей и 69,3 млн рублей соответственно. </w:t>
      </w:r>
    </w:p>
    <w:p w14:paraId="740A3E2E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Задание:  </w:t>
      </w:r>
    </w:p>
    <w:p w14:paraId="4800509D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6B56">
        <w:rPr>
          <w:rFonts w:ascii="Times New Roman" w:hAnsi="Times New Roman" w:cs="Times New Roman"/>
          <w:bCs/>
          <w:sz w:val="28"/>
          <w:szCs w:val="28"/>
        </w:rPr>
        <w:t xml:space="preserve">Какие еще формы прямого и косвенного стимулирования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привлечения инвестиций субъектами МСП </w:t>
      </w:r>
      <w:r w:rsidRPr="00656B56">
        <w:rPr>
          <w:rFonts w:ascii="Times New Roman" w:hAnsi="Times New Roman" w:cs="Times New Roman"/>
          <w:bCs/>
          <w:sz w:val="28"/>
          <w:szCs w:val="28"/>
        </w:rPr>
        <w:t xml:space="preserve">через инвестиционные платформы вы могли бы предложить? Они могут быть реализованы как со стороны федерального бюджета (Правительство РФ), так и со стороны регулирования финансового рынка (Банк России). Предложения могут стимулировать как </w:t>
      </w:r>
      <w:r w:rsidRPr="004A6D8F">
        <w:rPr>
          <w:rFonts w:ascii="Times New Roman" w:hAnsi="Times New Roman" w:cs="Times New Roman"/>
          <w:bCs/>
          <w:sz w:val="28"/>
          <w:szCs w:val="28"/>
        </w:rPr>
        <w:t xml:space="preserve">спрос инвесторов на проекты, так и интерес со стороны предпринимателей к </w:t>
      </w:r>
      <w:r>
        <w:rPr>
          <w:rFonts w:ascii="Times New Roman" w:hAnsi="Times New Roman" w:cs="Times New Roman"/>
          <w:bCs/>
          <w:sz w:val="28"/>
          <w:szCs w:val="28"/>
        </w:rPr>
        <w:t>этой форме</w:t>
      </w:r>
      <w:r w:rsidRPr="004A6D8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привлечения инвестиций</w:t>
      </w:r>
      <w:r w:rsidRPr="004A6D8F">
        <w:rPr>
          <w:rFonts w:ascii="Times New Roman" w:hAnsi="Times New Roman" w:cs="Times New Roman"/>
          <w:bCs/>
          <w:sz w:val="28"/>
          <w:szCs w:val="28"/>
        </w:rPr>
        <w:t>.</w:t>
      </w:r>
      <w:r w:rsidRPr="00656B5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F217213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Форма ответа:</w:t>
      </w:r>
    </w:p>
    <w:p w14:paraId="512210FA" w14:textId="77777777" w:rsidR="00C814DB" w:rsidRDefault="00C814DB" w:rsidP="00C814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56">
        <w:rPr>
          <w:rFonts w:ascii="Times New Roman" w:hAnsi="Times New Roman" w:cs="Times New Roman"/>
          <w:bCs/>
          <w:sz w:val="28"/>
          <w:szCs w:val="28"/>
        </w:rPr>
        <w:t>Ответом могут быть законодательные инициативы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бюджетной и налоговой поддержке</w:t>
      </w:r>
      <w:r w:rsidRPr="00656B56">
        <w:rPr>
          <w:rFonts w:ascii="Times New Roman" w:hAnsi="Times New Roman" w:cs="Times New Roman"/>
          <w:bCs/>
          <w:sz w:val="28"/>
          <w:szCs w:val="28"/>
        </w:rPr>
        <w:t xml:space="preserve">, организационные меры, проекты по популяризации </w:t>
      </w:r>
      <w:r>
        <w:rPr>
          <w:rFonts w:ascii="Times New Roman" w:hAnsi="Times New Roman" w:cs="Times New Roman"/>
          <w:bCs/>
          <w:sz w:val="28"/>
          <w:szCs w:val="28"/>
        </w:rPr>
        <w:t>привлечения инвестиций с использованием инвестиционных платформ</w:t>
      </w:r>
      <w:r w:rsidRPr="00656B56">
        <w:rPr>
          <w:rFonts w:ascii="Times New Roman" w:hAnsi="Times New Roman" w:cs="Times New Roman"/>
          <w:bCs/>
          <w:sz w:val="28"/>
          <w:szCs w:val="28"/>
        </w:rPr>
        <w:t>, предложения по развитию инфраструктуры</w:t>
      </w:r>
      <w:r>
        <w:rPr>
          <w:rFonts w:ascii="Times New Roman" w:hAnsi="Times New Roman" w:cs="Times New Roman"/>
          <w:sz w:val="28"/>
          <w:szCs w:val="28"/>
        </w:rPr>
        <w:t xml:space="preserve"> этого рынка (по форме </w:t>
      </w:r>
      <w:r w:rsidRPr="00232A9B">
        <w:rPr>
          <w:rFonts w:ascii="Times New Roman" w:hAnsi="Times New Roman" w:cs="Times New Roman"/>
          <w:sz w:val="28"/>
          <w:szCs w:val="28"/>
        </w:rPr>
        <w:t xml:space="preserve">таблицы). Для каждой предложенной меры предлагается описать механизм ее реализации, перечислить структуры, которые могут в нем участвовать, и оценить ожидаемый эффект.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232A9B">
        <w:rPr>
          <w:rFonts w:ascii="Times New Roman" w:hAnsi="Times New Roman" w:cs="Times New Roman"/>
          <w:sz w:val="28"/>
          <w:szCs w:val="28"/>
        </w:rPr>
        <w:t>требуется оценить возможные риски неэффективной работы предложенных мер поддержки</w:t>
      </w:r>
      <w:r>
        <w:rPr>
          <w:rFonts w:ascii="Times New Roman" w:hAnsi="Times New Roman" w:cs="Times New Roman"/>
          <w:sz w:val="28"/>
          <w:szCs w:val="28"/>
        </w:rPr>
        <w:t>, а также риски, связанные со стимулированием инвесторов к предоставлению инвестиций субъектам МСП</w:t>
      </w:r>
      <w:r w:rsidRPr="00232A9B">
        <w:rPr>
          <w:rFonts w:ascii="Times New Roman" w:hAnsi="Times New Roman" w:cs="Times New Roman"/>
          <w:sz w:val="28"/>
          <w:szCs w:val="28"/>
        </w:rPr>
        <w:t>. По каждому</w:t>
      </w:r>
      <w:r>
        <w:rPr>
          <w:rFonts w:ascii="Times New Roman" w:hAnsi="Times New Roman" w:cs="Times New Roman"/>
          <w:sz w:val="28"/>
          <w:szCs w:val="28"/>
        </w:rPr>
        <w:t xml:space="preserve"> из пунктов предлагается составить краткое описание сути предлагаемых мер (не более половины страницы), подготовить общий слайд для всех предложений.</w:t>
      </w:r>
    </w:p>
    <w:p w14:paraId="22F22B00" w14:textId="77777777" w:rsidR="00C814DB" w:rsidRDefault="00C814DB" w:rsidP="00C814DB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форма для перечисления предложений: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62"/>
        <w:gridCol w:w="3061"/>
        <w:gridCol w:w="3022"/>
      </w:tblGrid>
      <w:tr w:rsidR="00C814DB" w:rsidRPr="00656B56" w14:paraId="67791097" w14:textId="77777777" w:rsidTr="00667EE2">
        <w:tc>
          <w:tcPr>
            <w:tcW w:w="1745" w:type="pct"/>
          </w:tcPr>
          <w:p w14:paraId="3F687338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pct"/>
          </w:tcPr>
          <w:p w14:paraId="25190B7B" w14:textId="77777777" w:rsidR="00C814DB" w:rsidRPr="00656B56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hAnsi="Times New Roman" w:cs="Times New Roman"/>
                <w:sz w:val="24"/>
                <w:szCs w:val="24"/>
              </w:rPr>
              <w:t>Краткосрочные (быстро реализуемые)</w:t>
            </w:r>
          </w:p>
        </w:tc>
        <w:tc>
          <w:tcPr>
            <w:tcW w:w="1617" w:type="pct"/>
          </w:tcPr>
          <w:p w14:paraId="4CDA22E2" w14:textId="77777777" w:rsidR="00C814DB" w:rsidRPr="00656B56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hAnsi="Times New Roman" w:cs="Times New Roman"/>
                <w:sz w:val="24"/>
                <w:szCs w:val="24"/>
              </w:rPr>
              <w:t>Долгосрочные (реализуемые на системной основе)</w:t>
            </w:r>
          </w:p>
        </w:tc>
      </w:tr>
      <w:tr w:rsidR="00C814DB" w:rsidRPr="00656B56" w14:paraId="27B4C6D0" w14:textId="77777777" w:rsidTr="00667EE2">
        <w:tc>
          <w:tcPr>
            <w:tcW w:w="1745" w:type="pct"/>
          </w:tcPr>
          <w:p w14:paraId="2A7E5E8D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hAnsi="Times New Roman" w:cs="Times New Roman"/>
                <w:sz w:val="24"/>
                <w:szCs w:val="24"/>
              </w:rPr>
              <w:t xml:space="preserve">Меры, направленные на повышение интереса предпринимателей </w:t>
            </w:r>
          </w:p>
        </w:tc>
        <w:tc>
          <w:tcPr>
            <w:tcW w:w="1638" w:type="pct"/>
          </w:tcPr>
          <w:p w14:paraId="4CFE1E10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</w:tcPr>
          <w:p w14:paraId="4BD439A8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DB" w:rsidRPr="00656B56" w14:paraId="5D933CA1" w14:textId="77777777" w:rsidTr="00667EE2">
        <w:tc>
          <w:tcPr>
            <w:tcW w:w="1745" w:type="pct"/>
          </w:tcPr>
          <w:p w14:paraId="5D3BD8CD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hAnsi="Times New Roman" w:cs="Times New Roman"/>
                <w:sz w:val="24"/>
                <w:szCs w:val="24"/>
              </w:rPr>
              <w:t>Меры, направленные на стимулирование спроса инвесторов</w:t>
            </w:r>
          </w:p>
        </w:tc>
        <w:tc>
          <w:tcPr>
            <w:tcW w:w="1638" w:type="pct"/>
          </w:tcPr>
          <w:p w14:paraId="5BF91600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</w:tcPr>
          <w:p w14:paraId="7DCDDC8E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DB" w:rsidRPr="00656B56" w14:paraId="1F07725C" w14:textId="77777777" w:rsidTr="00667EE2">
        <w:tc>
          <w:tcPr>
            <w:tcW w:w="1745" w:type="pct"/>
          </w:tcPr>
          <w:p w14:paraId="7489CEDE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B56">
              <w:rPr>
                <w:rFonts w:ascii="Times New Roman" w:hAnsi="Times New Roman" w:cs="Times New Roman"/>
                <w:sz w:val="24"/>
                <w:szCs w:val="24"/>
              </w:rPr>
              <w:t>Иные меры и предложения (при наличии)</w:t>
            </w:r>
          </w:p>
        </w:tc>
        <w:tc>
          <w:tcPr>
            <w:tcW w:w="1638" w:type="pct"/>
          </w:tcPr>
          <w:p w14:paraId="65D20771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</w:tcPr>
          <w:p w14:paraId="4574705D" w14:textId="77777777" w:rsidR="00C814DB" w:rsidRPr="00656B56" w:rsidRDefault="00C814DB" w:rsidP="00667E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BAED57" w14:textId="77777777" w:rsidR="00C814DB" w:rsidRPr="00586400" w:rsidRDefault="00C814DB" w:rsidP="00C814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D380F" w14:textId="77777777" w:rsidR="00C814DB" w:rsidRDefault="00C814DB" w:rsidP="00C814D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Кейс №2 на тему «Разработка концепции а</w:t>
      </w:r>
      <w:r w:rsidRPr="00296017">
        <w:rPr>
          <w:rFonts w:ascii="Times New Roman" w:hAnsi="Times New Roman" w:cs="Times New Roman"/>
          <w:b/>
          <w:sz w:val="28"/>
          <w:szCs w:val="28"/>
        </w:rPr>
        <w:t>грега</w:t>
      </w:r>
      <w:r>
        <w:rPr>
          <w:rFonts w:ascii="Times New Roman" w:hAnsi="Times New Roman" w:cs="Times New Roman"/>
          <w:b/>
          <w:sz w:val="28"/>
          <w:szCs w:val="28"/>
        </w:rPr>
        <w:t>тора</w:t>
      </w:r>
      <w:r w:rsidRPr="0029601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инвестиционных платформ»</w:t>
      </w:r>
    </w:p>
    <w:p w14:paraId="786C5F87" w14:textId="77777777" w:rsidR="00C814DB" w:rsidRPr="00656B56" w:rsidRDefault="00C814DB" w:rsidP="00C814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Проблематика: </w:t>
      </w:r>
    </w:p>
    <w:p w14:paraId="7099B434" w14:textId="58173362" w:rsidR="00C814DB" w:rsidRDefault="00C814DB" w:rsidP="00C814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6017">
        <w:rPr>
          <w:rFonts w:ascii="Times New Roman" w:hAnsi="Times New Roman" w:cs="Times New Roman"/>
          <w:sz w:val="28"/>
          <w:szCs w:val="28"/>
        </w:rPr>
        <w:t>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иционные </w:t>
      </w:r>
      <w:r w:rsidRPr="00296017">
        <w:rPr>
          <w:rFonts w:ascii="Times New Roman" w:hAnsi="Times New Roman" w:cs="Times New Roman"/>
          <w:sz w:val="28"/>
          <w:szCs w:val="28"/>
        </w:rPr>
        <w:t>платформы по своей сути – цифровые площадки привлечения инвестирования.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017">
        <w:rPr>
          <w:rFonts w:ascii="Times New Roman" w:hAnsi="Times New Roman" w:cs="Times New Roman"/>
          <w:sz w:val="28"/>
          <w:szCs w:val="28"/>
        </w:rPr>
        <w:t xml:space="preserve">При выборе площадки важно обращать внимание, включен ли оператор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96017">
        <w:rPr>
          <w:rFonts w:ascii="Times New Roman" w:hAnsi="Times New Roman" w:cs="Times New Roman"/>
          <w:sz w:val="28"/>
          <w:szCs w:val="28"/>
        </w:rPr>
        <w:t xml:space="preserve">реестр операторов инвестиционных платформ Банка России. Не менее важным для </w:t>
      </w:r>
      <w:r>
        <w:rPr>
          <w:rFonts w:ascii="Times New Roman" w:hAnsi="Times New Roman" w:cs="Times New Roman"/>
          <w:sz w:val="28"/>
          <w:szCs w:val="28"/>
        </w:rPr>
        <w:t xml:space="preserve">инвесторов и лиц, привлекающих инвестиции, </w:t>
      </w:r>
      <w:r w:rsidRPr="00296017">
        <w:rPr>
          <w:rFonts w:ascii="Times New Roman" w:hAnsi="Times New Roman" w:cs="Times New Roman"/>
          <w:sz w:val="28"/>
          <w:szCs w:val="28"/>
        </w:rPr>
        <w:t xml:space="preserve">являются условия работы инвестиционных </w:t>
      </w:r>
      <w:r>
        <w:rPr>
          <w:rFonts w:ascii="Times New Roman" w:hAnsi="Times New Roman" w:cs="Times New Roman"/>
          <w:sz w:val="28"/>
          <w:szCs w:val="28"/>
        </w:rPr>
        <w:t>платформ</w:t>
      </w:r>
      <w:r w:rsidRPr="00296017">
        <w:rPr>
          <w:rFonts w:ascii="Times New Roman" w:hAnsi="Times New Roman" w:cs="Times New Roman"/>
          <w:sz w:val="28"/>
          <w:szCs w:val="28"/>
        </w:rPr>
        <w:t xml:space="preserve"> и предлагаемые ими возможности по инвестированию. Уже сейчас в реестре Банка России </w:t>
      </w:r>
      <w:r>
        <w:rPr>
          <w:rFonts w:ascii="Times New Roman" w:hAnsi="Times New Roman" w:cs="Times New Roman"/>
          <w:sz w:val="28"/>
          <w:szCs w:val="28"/>
        </w:rPr>
        <w:t xml:space="preserve">насчитывается </w:t>
      </w:r>
      <w:r w:rsidRPr="00296017">
        <w:rPr>
          <w:rFonts w:ascii="Times New Roman" w:hAnsi="Times New Roman" w:cs="Times New Roman"/>
          <w:sz w:val="28"/>
          <w:szCs w:val="28"/>
        </w:rPr>
        <w:t>порядка 50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(на 18.02.2022 – 54)</w:t>
      </w:r>
      <w:r w:rsidRPr="00296017">
        <w:rPr>
          <w:rFonts w:ascii="Times New Roman" w:hAnsi="Times New Roman" w:cs="Times New Roman"/>
          <w:sz w:val="28"/>
          <w:szCs w:val="28"/>
        </w:rPr>
        <w:t xml:space="preserve">, а для сравнения их услуг и тарифов </w:t>
      </w:r>
      <w:r>
        <w:rPr>
          <w:rFonts w:ascii="Times New Roman" w:hAnsi="Times New Roman" w:cs="Times New Roman"/>
          <w:sz w:val="28"/>
          <w:szCs w:val="28"/>
        </w:rPr>
        <w:t xml:space="preserve">потенциальному клиенту </w:t>
      </w:r>
      <w:r w:rsidRPr="00296017">
        <w:rPr>
          <w:rFonts w:ascii="Times New Roman" w:hAnsi="Times New Roman" w:cs="Times New Roman"/>
          <w:sz w:val="28"/>
          <w:szCs w:val="28"/>
        </w:rPr>
        <w:t xml:space="preserve">необходимо зайти на официальный сайт каждой из таких платформ и после этого сделать свой выбор. </w:t>
      </w:r>
    </w:p>
    <w:p w14:paraId="53A319F6" w14:textId="6F470E67" w:rsidR="00C814DB" w:rsidRDefault="00C814DB" w:rsidP="00C814D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создание агрегатора инвестиционных платформ, на котором потенциальные клиенты смогут ознакомиться с условиями работы каждой из платформ-участников агрегатора, поможет не только сократить временные затраты потенциальных клиентов, но </w:t>
      </w:r>
      <w:r w:rsidRPr="00D11845">
        <w:rPr>
          <w:rFonts w:ascii="Times New Roman" w:hAnsi="Times New Roman" w:cs="Times New Roman"/>
          <w:sz w:val="28"/>
          <w:szCs w:val="28"/>
        </w:rPr>
        <w:t xml:space="preserve">и </w:t>
      </w:r>
      <w:r w:rsidRPr="00D87FD5">
        <w:rPr>
          <w:rFonts w:ascii="Times New Roman" w:hAnsi="Times New Roman" w:cs="Times New Roman"/>
          <w:sz w:val="28"/>
          <w:szCs w:val="28"/>
        </w:rPr>
        <w:t>снизить</w:t>
      </w:r>
      <w:r>
        <w:rPr>
          <w:rFonts w:ascii="Times New Roman" w:hAnsi="Times New Roman" w:cs="Times New Roman"/>
          <w:sz w:val="28"/>
          <w:szCs w:val="28"/>
        </w:rPr>
        <w:t xml:space="preserve"> риск взаимодействия потенциальных клиентов с «безлицензионным» участником рынка. С другой стороны, жизненный опыт (доставка, такси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показывает, что появление агрегаторов неизбежно приводит к стандартизации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предлагаемых на них товаров и услуг, снижению количества уникальных бизнес-моделей на соответствующем рынке.</w:t>
      </w:r>
    </w:p>
    <w:p w14:paraId="3327E1F0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Задание:</w:t>
      </w:r>
      <w:r w:rsidRPr="0029601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3796C" w14:textId="6B7A90F0" w:rsidR="00C814DB" w:rsidRPr="007170D3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017">
        <w:rPr>
          <w:rFonts w:ascii="Times New Roman" w:hAnsi="Times New Roman" w:cs="Times New Roman"/>
          <w:sz w:val="28"/>
          <w:szCs w:val="28"/>
        </w:rPr>
        <w:t>Разработайте</w:t>
      </w:r>
      <w:r>
        <w:rPr>
          <w:rFonts w:ascii="Times New Roman" w:hAnsi="Times New Roman" w:cs="Times New Roman"/>
          <w:sz w:val="28"/>
          <w:szCs w:val="28"/>
        </w:rPr>
        <w:t xml:space="preserve"> концепцию (укрупненную модель бизнес-процессов) интернет-площадки</w:t>
      </w:r>
      <w:r w:rsidRPr="00296017">
        <w:rPr>
          <w:rFonts w:ascii="Times New Roman" w:hAnsi="Times New Roman" w:cs="Times New Roman"/>
          <w:sz w:val="28"/>
          <w:szCs w:val="28"/>
        </w:rPr>
        <w:t>, на которой будут агрегированы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</w:t>
      </w:r>
      <w:r w:rsidRPr="00296017">
        <w:rPr>
          <w:rFonts w:ascii="Times New Roman" w:hAnsi="Times New Roman" w:cs="Times New Roman"/>
          <w:sz w:val="28"/>
          <w:szCs w:val="28"/>
        </w:rPr>
        <w:t>инвест</w:t>
      </w:r>
      <w:r>
        <w:rPr>
          <w:rFonts w:ascii="Times New Roman" w:hAnsi="Times New Roman" w:cs="Times New Roman"/>
          <w:sz w:val="28"/>
          <w:szCs w:val="28"/>
        </w:rPr>
        <w:t xml:space="preserve">иционных </w:t>
      </w:r>
      <w:r w:rsidRPr="00296017">
        <w:rPr>
          <w:rFonts w:ascii="Times New Roman" w:hAnsi="Times New Roman" w:cs="Times New Roman"/>
          <w:sz w:val="28"/>
          <w:szCs w:val="28"/>
        </w:rPr>
        <w:t>платформ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проекты </w:t>
      </w:r>
      <w:r w:rsidRPr="00296017">
        <w:rPr>
          <w:rFonts w:ascii="Times New Roman" w:hAnsi="Times New Roman" w:cs="Times New Roman"/>
          <w:sz w:val="28"/>
          <w:szCs w:val="28"/>
        </w:rPr>
        <w:t>для инвестирования</w:t>
      </w:r>
      <w:r>
        <w:rPr>
          <w:rFonts w:ascii="Times New Roman" w:hAnsi="Times New Roman" w:cs="Times New Roman"/>
          <w:sz w:val="28"/>
          <w:szCs w:val="28"/>
        </w:rPr>
        <w:t xml:space="preserve">). Опишите возможные требования к участникам такого агрегатора. </w:t>
      </w:r>
      <w:r w:rsidRPr="00773F65">
        <w:rPr>
          <w:rFonts w:ascii="Times New Roman" w:hAnsi="Times New Roman" w:cs="Times New Roman"/>
          <w:sz w:val="28"/>
          <w:szCs w:val="28"/>
        </w:rPr>
        <w:t>Какие сопутствующие услуги и сервисы</w:t>
      </w:r>
      <w:r>
        <w:rPr>
          <w:rFonts w:ascii="Times New Roman" w:hAnsi="Times New Roman" w:cs="Times New Roman"/>
          <w:sz w:val="28"/>
          <w:szCs w:val="28"/>
        </w:rPr>
        <w:t xml:space="preserve"> такого агрегатора</w:t>
      </w:r>
      <w:r w:rsidRPr="00773F65">
        <w:rPr>
          <w:rFonts w:ascii="Times New Roman" w:hAnsi="Times New Roman" w:cs="Times New Roman"/>
          <w:sz w:val="28"/>
          <w:szCs w:val="28"/>
        </w:rPr>
        <w:t xml:space="preserve"> были бы наиболее востребованы у инвесторов и лиц, привлекающих инвестиции?</w:t>
      </w:r>
      <w:r>
        <w:rPr>
          <w:rFonts w:ascii="Times New Roman" w:hAnsi="Times New Roman" w:cs="Times New Roman"/>
          <w:sz w:val="28"/>
          <w:szCs w:val="28"/>
        </w:rPr>
        <w:t xml:space="preserve"> Опишите возможное влияние создания такого агрегатора на конкуренцию и на развитие рынка инвестиций с использованием инвестиционных платформ в целом. Опишите ожидаемые положительные эффекты и возможные риски.</w:t>
      </w:r>
    </w:p>
    <w:p w14:paraId="3225F7C8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Форма ответа:</w:t>
      </w:r>
    </w:p>
    <w:p w14:paraId="759F7B6F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E2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Общая с</w:t>
      </w:r>
      <w:r w:rsidRPr="00392EE2">
        <w:rPr>
          <w:rFonts w:ascii="Times New Roman" w:hAnsi="Times New Roman" w:cs="Times New Roman"/>
          <w:sz w:val="28"/>
          <w:szCs w:val="28"/>
        </w:rPr>
        <w:t>хема бизнес-процессов (взаимодействия участников)</w:t>
      </w:r>
      <w:r>
        <w:rPr>
          <w:rFonts w:ascii="Times New Roman" w:hAnsi="Times New Roman" w:cs="Times New Roman"/>
          <w:sz w:val="28"/>
          <w:szCs w:val="28"/>
        </w:rPr>
        <w:t xml:space="preserve"> агрегатора, описание концепции.</w:t>
      </w:r>
    </w:p>
    <w:p w14:paraId="024F51FB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392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92EE2">
        <w:rPr>
          <w:rFonts w:ascii="Times New Roman" w:hAnsi="Times New Roman" w:cs="Times New Roman"/>
          <w:sz w:val="28"/>
          <w:szCs w:val="28"/>
        </w:rPr>
        <w:t>еречень критериев, которым должны соответствовать участники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инвестплатформы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бизнес-проекты).</w:t>
      </w:r>
    </w:p>
    <w:p w14:paraId="3808B904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</w:t>
      </w:r>
      <w:r w:rsidRPr="00392EE2">
        <w:rPr>
          <w:rFonts w:ascii="Times New Roman" w:hAnsi="Times New Roman" w:cs="Times New Roman"/>
          <w:sz w:val="28"/>
          <w:szCs w:val="28"/>
        </w:rPr>
        <w:t xml:space="preserve">ритерии, которым должны отвечать инвесторы для допуска на агрегатор.  </w:t>
      </w:r>
    </w:p>
    <w:p w14:paraId="41AE9616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Описание сопутствующих услуг и сервисов, которые могут быть реализованы на агрегаторе.</w:t>
      </w:r>
    </w:p>
    <w:p w14:paraId="61C0AD58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Описание влияния создания агрегатора на рынок инвестирования с использованием инвестиционных платформ и конкуренцию на нем, положительные эффекты и риски.</w:t>
      </w:r>
    </w:p>
    <w:p w14:paraId="37C703A1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изложите не более, чем на 2 страницах, подготовьте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1-2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слайда с основными предложениями.</w:t>
      </w:r>
    </w:p>
    <w:p w14:paraId="68E2F839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3.3. Кейс №3 на тему «О</w:t>
      </w:r>
      <w:r w:rsidRPr="006D7C1F">
        <w:rPr>
          <w:b/>
          <w:color w:val="auto"/>
          <w:sz w:val="28"/>
          <w:szCs w:val="28"/>
        </w:rPr>
        <w:t>ценк</w:t>
      </w:r>
      <w:r>
        <w:rPr>
          <w:b/>
          <w:color w:val="auto"/>
          <w:sz w:val="28"/>
          <w:szCs w:val="28"/>
        </w:rPr>
        <w:t>а</w:t>
      </w:r>
      <w:r w:rsidRPr="006D7C1F">
        <w:rPr>
          <w:b/>
          <w:color w:val="auto"/>
          <w:sz w:val="28"/>
          <w:szCs w:val="28"/>
        </w:rPr>
        <w:t xml:space="preserve"> кредитного риска заемщиков</w:t>
      </w:r>
      <w:r>
        <w:rPr>
          <w:b/>
          <w:color w:val="auto"/>
          <w:sz w:val="28"/>
          <w:szCs w:val="28"/>
        </w:rPr>
        <w:t>, привлекающих финансирование через инвестиционные платформы»</w:t>
      </w:r>
    </w:p>
    <w:p w14:paraId="6659A082" w14:textId="77777777" w:rsidR="00C814DB" w:rsidRPr="00656B56" w:rsidRDefault="00C814DB" w:rsidP="00C814DB">
      <w:pPr>
        <w:pStyle w:val="Default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656B56">
        <w:rPr>
          <w:bCs/>
          <w:i/>
          <w:iCs/>
          <w:sz w:val="28"/>
          <w:szCs w:val="28"/>
        </w:rPr>
        <w:t>Проблематика:</w:t>
      </w:r>
    </w:p>
    <w:p w14:paraId="176F9A75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96017">
        <w:rPr>
          <w:color w:val="auto"/>
          <w:sz w:val="28"/>
          <w:szCs w:val="28"/>
        </w:rPr>
        <w:lastRenderedPageBreak/>
        <w:t>О</w:t>
      </w:r>
      <w:r>
        <w:rPr>
          <w:color w:val="auto"/>
          <w:sz w:val="28"/>
          <w:szCs w:val="28"/>
        </w:rPr>
        <w:t>ценка</w:t>
      </w:r>
      <w:r w:rsidRPr="00296017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предпринимателей</w:t>
      </w:r>
      <w:r w:rsidRPr="00296017">
        <w:rPr>
          <w:color w:val="auto"/>
          <w:sz w:val="28"/>
          <w:szCs w:val="28"/>
        </w:rPr>
        <w:t xml:space="preserve">, привлекающих </w:t>
      </w:r>
      <w:r>
        <w:rPr>
          <w:color w:val="auto"/>
          <w:sz w:val="28"/>
          <w:szCs w:val="28"/>
        </w:rPr>
        <w:t xml:space="preserve">финансирование, проводится </w:t>
      </w:r>
      <w:r w:rsidRPr="00296017">
        <w:rPr>
          <w:color w:val="auto"/>
          <w:sz w:val="28"/>
          <w:szCs w:val="28"/>
        </w:rPr>
        <w:t xml:space="preserve">операторами инвестиционных платформ с использованием </w:t>
      </w:r>
      <w:proofErr w:type="spellStart"/>
      <w:r w:rsidRPr="00296017">
        <w:rPr>
          <w:color w:val="auto"/>
          <w:sz w:val="28"/>
          <w:szCs w:val="28"/>
        </w:rPr>
        <w:t>скоринговых</w:t>
      </w:r>
      <w:proofErr w:type="spellEnd"/>
      <w:r w:rsidRPr="00296017">
        <w:rPr>
          <w:color w:val="auto"/>
          <w:sz w:val="28"/>
          <w:szCs w:val="28"/>
        </w:rPr>
        <w:t xml:space="preserve"> процедур. Каждая инвестиционная платформа устанавливает собственные критерии отбора предпринимателей, которых она допускает к </w:t>
      </w:r>
      <w:r>
        <w:rPr>
          <w:color w:val="auto"/>
          <w:sz w:val="28"/>
          <w:szCs w:val="28"/>
        </w:rPr>
        <w:t xml:space="preserve">привлечению инвестиций. При этом до настоящего времени не сложилось единых стандартов и процедур такого отбора. </w:t>
      </w:r>
    </w:p>
    <w:p w14:paraId="2F853E51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Разработка и внедрение единых подходов к скорингу лиц</w:t>
      </w:r>
      <w:r w:rsidRPr="008D2442">
        <w:rPr>
          <w:color w:val="auto"/>
          <w:sz w:val="28"/>
          <w:szCs w:val="28"/>
        </w:rPr>
        <w:t xml:space="preserve">, привлекающих </w:t>
      </w:r>
      <w:r w:rsidRPr="003A4EAE">
        <w:rPr>
          <w:color w:val="auto"/>
          <w:sz w:val="28"/>
          <w:szCs w:val="28"/>
        </w:rPr>
        <w:t xml:space="preserve">финансирование через инвестиционные платформы, может способствовать развитию доверительной среды на рынке </w:t>
      </w:r>
      <w:proofErr w:type="spellStart"/>
      <w:r w:rsidRPr="003A4EAE">
        <w:rPr>
          <w:color w:val="auto"/>
          <w:sz w:val="28"/>
          <w:szCs w:val="28"/>
        </w:rPr>
        <w:t>краудфинансирования</w:t>
      </w:r>
      <w:proofErr w:type="spellEnd"/>
      <w:r w:rsidRPr="003A4EAE">
        <w:rPr>
          <w:color w:val="auto"/>
          <w:sz w:val="28"/>
          <w:szCs w:val="28"/>
        </w:rPr>
        <w:t xml:space="preserve"> и привлечению на него инвесторов. </w:t>
      </w:r>
      <w:r>
        <w:rPr>
          <w:color w:val="auto"/>
          <w:sz w:val="28"/>
          <w:szCs w:val="28"/>
        </w:rPr>
        <w:t>Кроме того, это упростит для инвесторов сравнение инвестиционных предложений на различных инвестиционных платформах. С другой стороны, использование операторами инвестиционных платформ единых стандартов может оказать негативное влияние на развитие инноваций в сфере скоринга заемщиков, так как высококачественный скоринг может являться бизнес-преимуществом конкретного оператора инвестиционной платформы.</w:t>
      </w:r>
    </w:p>
    <w:p w14:paraId="25B46BAA" w14:textId="77777777" w:rsidR="00C814DB" w:rsidRPr="00656B56" w:rsidRDefault="00C814DB" w:rsidP="00C814DB">
      <w:pPr>
        <w:pStyle w:val="Default"/>
        <w:spacing w:line="360" w:lineRule="auto"/>
        <w:ind w:firstLine="709"/>
        <w:jc w:val="both"/>
        <w:rPr>
          <w:bCs/>
          <w:i/>
          <w:iCs/>
          <w:color w:val="auto"/>
          <w:sz w:val="28"/>
          <w:szCs w:val="28"/>
        </w:rPr>
      </w:pPr>
      <w:r w:rsidRPr="00656B56">
        <w:rPr>
          <w:bCs/>
          <w:i/>
          <w:iCs/>
          <w:color w:val="auto"/>
          <w:sz w:val="28"/>
          <w:szCs w:val="28"/>
        </w:rPr>
        <w:t>Задание:</w:t>
      </w:r>
    </w:p>
    <w:p w14:paraId="1593221E" w14:textId="14006747" w:rsidR="00C814DB" w:rsidRPr="00296017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Перечислите </w:t>
      </w:r>
      <w:r w:rsidRPr="00296017">
        <w:rPr>
          <w:color w:val="auto"/>
          <w:sz w:val="28"/>
          <w:szCs w:val="28"/>
        </w:rPr>
        <w:t>наиболее типичны</w:t>
      </w:r>
      <w:r>
        <w:rPr>
          <w:color w:val="auto"/>
          <w:sz w:val="28"/>
          <w:szCs w:val="28"/>
        </w:rPr>
        <w:t>е</w:t>
      </w:r>
      <w:r w:rsidRPr="00296017">
        <w:rPr>
          <w:color w:val="auto"/>
          <w:sz w:val="28"/>
          <w:szCs w:val="28"/>
        </w:rPr>
        <w:t xml:space="preserve"> риск</w:t>
      </w:r>
      <w:r>
        <w:rPr>
          <w:color w:val="auto"/>
          <w:sz w:val="28"/>
          <w:szCs w:val="28"/>
        </w:rPr>
        <w:t>и</w:t>
      </w:r>
      <w:r w:rsidRPr="00296017">
        <w:rPr>
          <w:color w:val="auto"/>
          <w:sz w:val="28"/>
          <w:szCs w:val="28"/>
        </w:rPr>
        <w:t>, связанны</w:t>
      </w:r>
      <w:r>
        <w:rPr>
          <w:color w:val="auto"/>
          <w:sz w:val="28"/>
          <w:szCs w:val="28"/>
        </w:rPr>
        <w:t>е</w:t>
      </w:r>
      <w:r w:rsidRPr="00296017">
        <w:rPr>
          <w:color w:val="auto"/>
          <w:sz w:val="28"/>
          <w:szCs w:val="28"/>
        </w:rPr>
        <w:t xml:space="preserve"> с инвестированием </w:t>
      </w:r>
      <w:r>
        <w:rPr>
          <w:color w:val="auto"/>
          <w:sz w:val="28"/>
          <w:szCs w:val="28"/>
        </w:rPr>
        <w:t xml:space="preserve">с использованием инвестиционных платформ (в том числе </w:t>
      </w:r>
      <w:r w:rsidRPr="00296017">
        <w:rPr>
          <w:color w:val="auto"/>
          <w:sz w:val="28"/>
          <w:szCs w:val="28"/>
        </w:rPr>
        <w:t>на ранней стадии бизнеса</w:t>
      </w:r>
      <w:r>
        <w:rPr>
          <w:color w:val="auto"/>
          <w:sz w:val="28"/>
          <w:szCs w:val="28"/>
        </w:rPr>
        <w:t xml:space="preserve"> лица, привлекающего инвестиции)</w:t>
      </w:r>
      <w:r w:rsidRPr="00296017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для различных </w:t>
      </w:r>
      <w:r w:rsidRPr="00296017">
        <w:rPr>
          <w:color w:val="auto"/>
          <w:sz w:val="28"/>
          <w:szCs w:val="28"/>
        </w:rPr>
        <w:t>вид</w:t>
      </w:r>
      <w:r>
        <w:rPr>
          <w:color w:val="auto"/>
          <w:sz w:val="28"/>
          <w:szCs w:val="28"/>
        </w:rPr>
        <w:t>ов</w:t>
      </w:r>
      <w:r w:rsidRPr="00296017">
        <w:rPr>
          <w:color w:val="auto"/>
          <w:sz w:val="28"/>
          <w:szCs w:val="28"/>
        </w:rPr>
        <w:t xml:space="preserve"> инвестпроекто</w:t>
      </w:r>
      <w:r>
        <w:rPr>
          <w:color w:val="auto"/>
          <w:sz w:val="28"/>
          <w:szCs w:val="28"/>
        </w:rPr>
        <w:t>в и способов инвестирования на инвестиционных платформах.</w:t>
      </w:r>
      <w:r w:rsidRPr="002209C6">
        <w:rPr>
          <w:color w:val="auto"/>
          <w:sz w:val="28"/>
          <w:szCs w:val="28"/>
        </w:rPr>
        <w:t xml:space="preserve"> </w:t>
      </w:r>
      <w:r w:rsidRPr="00296017">
        <w:rPr>
          <w:color w:val="auto"/>
          <w:sz w:val="28"/>
          <w:szCs w:val="28"/>
        </w:rPr>
        <w:t xml:space="preserve">Предложите параметры </w:t>
      </w:r>
      <w:r>
        <w:rPr>
          <w:color w:val="auto"/>
          <w:sz w:val="28"/>
          <w:szCs w:val="28"/>
        </w:rPr>
        <w:t xml:space="preserve">модели оценки </w:t>
      </w:r>
      <w:r w:rsidRPr="00296017">
        <w:rPr>
          <w:color w:val="auto"/>
          <w:sz w:val="28"/>
          <w:szCs w:val="28"/>
        </w:rPr>
        <w:t xml:space="preserve">риска </w:t>
      </w:r>
      <w:r>
        <w:rPr>
          <w:color w:val="auto"/>
          <w:sz w:val="28"/>
          <w:szCs w:val="28"/>
        </w:rPr>
        <w:t>инвестирования в проекты предпринимателей,</w:t>
      </w:r>
      <w:r w:rsidRPr="00296017">
        <w:rPr>
          <w:color w:val="auto"/>
          <w:sz w:val="28"/>
          <w:szCs w:val="28"/>
        </w:rPr>
        <w:t xml:space="preserve"> привлекающих финансирование посредством инвестиционных платформ</w:t>
      </w:r>
      <w:r>
        <w:rPr>
          <w:color w:val="auto"/>
          <w:sz w:val="28"/>
          <w:szCs w:val="28"/>
        </w:rPr>
        <w:t>. Какие критерии целесообразно унифицировать для общего использования инвестиционными платформами? Приведите пример крайне рискованных и высоко надежных подходов инвестиционных платформ к оценке рисков заемщиков. Опишите возможные положительные и негативные последствия унификации модели оценки риска, области применения унифицированной модели.</w:t>
      </w:r>
    </w:p>
    <w:p w14:paraId="489085B5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Форма ответа:</w:t>
      </w:r>
    </w:p>
    <w:p w14:paraId="6B663C0E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835658">
        <w:rPr>
          <w:color w:val="auto"/>
          <w:sz w:val="28"/>
          <w:szCs w:val="28"/>
        </w:rPr>
        <w:lastRenderedPageBreak/>
        <w:t>1)</w:t>
      </w:r>
      <w:r>
        <w:rPr>
          <w:color w:val="auto"/>
          <w:sz w:val="28"/>
          <w:szCs w:val="28"/>
        </w:rPr>
        <w:t> Н</w:t>
      </w:r>
      <w:r w:rsidRPr="00296017">
        <w:rPr>
          <w:color w:val="auto"/>
          <w:sz w:val="28"/>
          <w:szCs w:val="28"/>
        </w:rPr>
        <w:t>аиболее типичны</w:t>
      </w:r>
      <w:r>
        <w:rPr>
          <w:color w:val="auto"/>
          <w:sz w:val="28"/>
          <w:szCs w:val="28"/>
        </w:rPr>
        <w:t>е</w:t>
      </w:r>
      <w:r w:rsidRPr="00296017">
        <w:rPr>
          <w:color w:val="auto"/>
          <w:sz w:val="28"/>
          <w:szCs w:val="28"/>
        </w:rPr>
        <w:t xml:space="preserve"> риск</w:t>
      </w:r>
      <w:r>
        <w:rPr>
          <w:color w:val="auto"/>
          <w:sz w:val="28"/>
          <w:szCs w:val="28"/>
        </w:rPr>
        <w:t>и</w:t>
      </w:r>
      <w:r w:rsidRPr="00296017">
        <w:rPr>
          <w:color w:val="auto"/>
          <w:sz w:val="28"/>
          <w:szCs w:val="28"/>
        </w:rPr>
        <w:t>, связанны</w:t>
      </w:r>
      <w:r>
        <w:rPr>
          <w:color w:val="auto"/>
          <w:sz w:val="28"/>
          <w:szCs w:val="28"/>
        </w:rPr>
        <w:t>е</w:t>
      </w:r>
      <w:r w:rsidRPr="00296017">
        <w:rPr>
          <w:color w:val="auto"/>
          <w:sz w:val="28"/>
          <w:szCs w:val="28"/>
        </w:rPr>
        <w:t xml:space="preserve"> с инвестированием </w:t>
      </w:r>
      <w:r>
        <w:rPr>
          <w:color w:val="auto"/>
          <w:sz w:val="28"/>
          <w:szCs w:val="28"/>
        </w:rPr>
        <w:t>с использованием инвестиционных платформ.</w:t>
      </w:r>
    </w:p>
    <w:p w14:paraId="4C1AD3FB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 П</w:t>
      </w:r>
      <w:r w:rsidRPr="00296017">
        <w:rPr>
          <w:color w:val="auto"/>
          <w:sz w:val="28"/>
          <w:szCs w:val="28"/>
        </w:rPr>
        <w:t xml:space="preserve">араметры </w:t>
      </w:r>
      <w:r>
        <w:rPr>
          <w:color w:val="auto"/>
          <w:sz w:val="28"/>
          <w:szCs w:val="28"/>
        </w:rPr>
        <w:t xml:space="preserve">модели оценки </w:t>
      </w:r>
      <w:r w:rsidRPr="00296017">
        <w:rPr>
          <w:color w:val="auto"/>
          <w:sz w:val="28"/>
          <w:szCs w:val="28"/>
        </w:rPr>
        <w:t>риска</w:t>
      </w:r>
      <w:r>
        <w:rPr>
          <w:color w:val="auto"/>
          <w:sz w:val="28"/>
          <w:szCs w:val="28"/>
        </w:rPr>
        <w:t>.</w:t>
      </w:r>
    </w:p>
    <w:p w14:paraId="3C43176E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Критерии моделей оценки риска, которые можно унифицировать. </w:t>
      </w:r>
    </w:p>
    <w:p w14:paraId="74E6A93B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4) Примеры рискованного и надежного подходов оператора инвестиционной платформы к отбору бизнес-проектов для финансирования.</w:t>
      </w:r>
    </w:p>
    <w:p w14:paraId="4FF72735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 Положительные и негативные последствия унификации модели оценки риска, области ее применения.</w:t>
      </w:r>
    </w:p>
    <w:p w14:paraId="57A7EFF3" w14:textId="1869D7D9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Общий объем описания – не более двух листов, </w:t>
      </w:r>
      <w:proofErr w:type="gramStart"/>
      <w:r>
        <w:rPr>
          <w:color w:val="auto"/>
          <w:sz w:val="28"/>
          <w:szCs w:val="28"/>
        </w:rPr>
        <w:t>1-2</w:t>
      </w:r>
      <w:proofErr w:type="gramEnd"/>
      <w:r>
        <w:rPr>
          <w:color w:val="auto"/>
          <w:sz w:val="28"/>
          <w:szCs w:val="28"/>
        </w:rPr>
        <w:t xml:space="preserve"> слайда с основными идеями. </w:t>
      </w:r>
    </w:p>
    <w:p w14:paraId="60AD12FE" w14:textId="40D8C3DD" w:rsidR="00C814DB" w:rsidRDefault="00C814DB" w:rsidP="00C814DB">
      <w:pPr>
        <w:tabs>
          <w:tab w:val="left" w:pos="786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 Кейс №4 на тему «</w:t>
      </w:r>
      <w:proofErr w:type="spellStart"/>
      <w:r w:rsidRPr="00656B56">
        <w:rPr>
          <w:rFonts w:ascii="Times New Roman" w:hAnsi="Times New Roman" w:cs="Times New Roman"/>
          <w:b/>
          <w:sz w:val="28"/>
          <w:szCs w:val="28"/>
        </w:rPr>
        <w:t>Токенизация</w:t>
      </w:r>
      <w:proofErr w:type="spellEnd"/>
      <w:r w:rsidRPr="00656B56">
        <w:rPr>
          <w:rFonts w:ascii="Times New Roman" w:hAnsi="Times New Roman" w:cs="Times New Roman"/>
          <w:b/>
          <w:sz w:val="28"/>
          <w:szCs w:val="28"/>
        </w:rPr>
        <w:t xml:space="preserve"> продукции и услуг предпринимателей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ABE92AE" w14:textId="77777777" w:rsidR="00C814DB" w:rsidRPr="00656B56" w:rsidRDefault="00C814DB" w:rsidP="00C81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Проблематика:</w:t>
      </w:r>
    </w:p>
    <w:p w14:paraId="2C0E1972" w14:textId="2F8A6A03" w:rsidR="00C814DB" w:rsidRDefault="00C814DB" w:rsidP="00C81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62F"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>предприниматель</w:t>
      </w:r>
      <w:r w:rsidRPr="00296017">
        <w:rPr>
          <w:rFonts w:ascii="Times New Roman" w:hAnsi="Times New Roman" w:cs="Times New Roman"/>
          <w:sz w:val="28"/>
          <w:szCs w:val="28"/>
        </w:rPr>
        <w:t xml:space="preserve"> производит (планирует производить) товары или оказывает (планирует оказывать) услуги, на которые есть</w:t>
      </w:r>
      <w:r>
        <w:rPr>
          <w:rFonts w:ascii="Times New Roman" w:hAnsi="Times New Roman" w:cs="Times New Roman"/>
          <w:sz w:val="28"/>
          <w:szCs w:val="28"/>
        </w:rPr>
        <w:t xml:space="preserve"> устойчивый высокий </w:t>
      </w:r>
      <w:r w:rsidRPr="00296017">
        <w:rPr>
          <w:rFonts w:ascii="Times New Roman" w:hAnsi="Times New Roman" w:cs="Times New Roman"/>
          <w:sz w:val="28"/>
          <w:szCs w:val="28"/>
        </w:rPr>
        <w:t>спрос</w:t>
      </w:r>
      <w:r>
        <w:rPr>
          <w:rFonts w:ascii="Times New Roman" w:hAnsi="Times New Roman" w:cs="Times New Roman"/>
          <w:sz w:val="28"/>
          <w:szCs w:val="28"/>
        </w:rPr>
        <w:t>, он</w:t>
      </w:r>
      <w:r w:rsidRPr="00296017">
        <w:rPr>
          <w:rFonts w:ascii="Times New Roman" w:hAnsi="Times New Roman" w:cs="Times New Roman"/>
          <w:sz w:val="28"/>
          <w:szCs w:val="28"/>
        </w:rPr>
        <w:t xml:space="preserve"> может предложить инвесторам результат своего труда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296017">
        <w:rPr>
          <w:rFonts w:ascii="Times New Roman" w:hAnsi="Times New Roman" w:cs="Times New Roman"/>
          <w:sz w:val="28"/>
          <w:szCs w:val="28"/>
        </w:rPr>
        <w:t>кажем, поставить товар, оказать услугу или передать исключительные права на результаты интеллектуальной деятельности</w:t>
      </w:r>
      <w:r w:rsidRPr="00A724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Это могут быть</w:t>
      </w:r>
      <w:r w:rsidRPr="00A72493">
        <w:rPr>
          <w:rFonts w:ascii="Times New Roman" w:hAnsi="Times New Roman" w:cs="Times New Roman"/>
          <w:sz w:val="28"/>
          <w:szCs w:val="28"/>
        </w:rPr>
        <w:t xml:space="preserve"> нормо-часы на СТО, некоторое количество дней </w:t>
      </w:r>
      <w:r>
        <w:rPr>
          <w:rFonts w:ascii="Times New Roman" w:hAnsi="Times New Roman" w:cs="Times New Roman"/>
          <w:sz w:val="28"/>
          <w:szCs w:val="28"/>
        </w:rPr>
        <w:t xml:space="preserve">проживания </w:t>
      </w:r>
      <w:r w:rsidRPr="00A72493">
        <w:rPr>
          <w:rFonts w:ascii="Times New Roman" w:hAnsi="Times New Roman" w:cs="Times New Roman"/>
          <w:sz w:val="28"/>
          <w:szCs w:val="28"/>
        </w:rPr>
        <w:t>в гостин</w:t>
      </w:r>
      <w:r>
        <w:rPr>
          <w:rFonts w:ascii="Times New Roman" w:hAnsi="Times New Roman" w:cs="Times New Roman"/>
          <w:sz w:val="28"/>
          <w:szCs w:val="28"/>
        </w:rPr>
        <w:t xml:space="preserve">ице. Такие </w:t>
      </w:r>
      <w:r w:rsidRPr="00A72493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A7249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ыть</w:t>
      </w:r>
      <w:r w:rsidRPr="00A72493">
        <w:rPr>
          <w:rFonts w:ascii="Times New Roman" w:hAnsi="Times New Roman" w:cs="Times New Roman"/>
          <w:sz w:val="28"/>
          <w:szCs w:val="28"/>
        </w:rPr>
        <w:t xml:space="preserve"> оформлены как утилитарны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2493">
        <w:rPr>
          <w:rFonts w:ascii="Times New Roman" w:hAnsi="Times New Roman" w:cs="Times New Roman"/>
          <w:sz w:val="28"/>
          <w:szCs w:val="28"/>
        </w:rPr>
        <w:t xml:space="preserve"> цифровы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72493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 (УЦП)</w:t>
      </w:r>
      <w:r w:rsidRPr="00A7249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F2E409" w14:textId="77777777" w:rsidR="00C814DB" w:rsidRDefault="00C814DB" w:rsidP="00C81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таком случае предприниматель, используя функционал инвестиционной платформы, может привлечь инвестиции от своих будущих клиентов в обмен на УЦП, в некотором смысле получая оплату за еще не поставленный товар, не оказанную услугу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т.п.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493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о приобретении </w:t>
      </w:r>
      <w:r>
        <w:rPr>
          <w:rFonts w:ascii="Times New Roman" w:hAnsi="Times New Roman" w:cs="Times New Roman"/>
          <w:sz w:val="28"/>
          <w:szCs w:val="28"/>
        </w:rPr>
        <w:t>УЦП</w:t>
      </w:r>
      <w:r w:rsidRPr="00A72493">
        <w:rPr>
          <w:rFonts w:ascii="Times New Roman" w:hAnsi="Times New Roman" w:cs="Times New Roman"/>
          <w:sz w:val="28"/>
          <w:szCs w:val="28"/>
        </w:rPr>
        <w:t xml:space="preserve"> инвестиционное предложение лица, привлекающего инвестиции с использованием инвестиционной платформы, должно содержать условия их обращения и прекращения.</w:t>
      </w:r>
    </w:p>
    <w:p w14:paraId="0822FAE6" w14:textId="77777777" w:rsidR="00C814DB" w:rsidRDefault="00C814DB" w:rsidP="00C81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основной особенностью УЦП является их высокая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оборотоспособность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после приобретения их на «размещении» инвестор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как предъявить их к погашению (и получить товар, услугу и т.п.), так и реализовать их на вторичном рынке лицам, которые заинтересованы в их приобретении. Законодательство позволяет проводить организованные торги УЦП, посредством выдачи на них цифровых свидетельств – ценных бумаг (во многом этот механизм похож на депозитарные расписки).</w:t>
      </w:r>
    </w:p>
    <w:p w14:paraId="410003ED" w14:textId="77777777" w:rsidR="00C814DB" w:rsidRPr="00296017" w:rsidRDefault="00C814DB" w:rsidP="00C814D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 отметить, что УЦП являются цифровыми правами и обращаются в инвестиционной платформе без обращения к третьему лицу (в отличие от ценных бумаг), являясь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криптоактивом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токеном.</w:t>
      </w:r>
    </w:p>
    <w:p w14:paraId="35E03F69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Задание:</w:t>
      </w:r>
    </w:p>
    <w:p w14:paraId="76ED802C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сферы</w:t>
      </w:r>
      <w:r w:rsidRPr="00B571F4">
        <w:rPr>
          <w:rFonts w:ascii="Times New Roman" w:hAnsi="Times New Roman" w:cs="Times New Roman"/>
          <w:sz w:val="28"/>
          <w:szCs w:val="28"/>
        </w:rPr>
        <w:t xml:space="preserve"> </w:t>
      </w:r>
      <w:r w:rsidRPr="00296017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017"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96017">
        <w:rPr>
          <w:rFonts w:ascii="Times New Roman" w:hAnsi="Times New Roman" w:cs="Times New Roman"/>
          <w:sz w:val="28"/>
          <w:szCs w:val="28"/>
        </w:rPr>
        <w:t xml:space="preserve"> услуг </w:t>
      </w:r>
      <w:r>
        <w:rPr>
          <w:rFonts w:ascii="Times New Roman" w:hAnsi="Times New Roman" w:cs="Times New Roman"/>
          <w:sz w:val="28"/>
          <w:szCs w:val="28"/>
        </w:rPr>
        <w:t xml:space="preserve">может развиваться наиболее эффективно и быстро? Какие бизнес-модели могут быть наиболее эффективны при ее внедрении? Приведите примеры. Опишите потенциальные положительные эффекты от внедрения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финансового рынка и бизнеса. Какие риски будут присущи этому инструменту? </w:t>
      </w:r>
    </w:p>
    <w:p w14:paraId="105B20CF" w14:textId="77777777" w:rsidR="00C814DB" w:rsidRPr="00656B56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656B56">
        <w:rPr>
          <w:rFonts w:ascii="Times New Roman" w:hAnsi="Times New Roman" w:cs="Times New Roman"/>
          <w:bCs/>
          <w:i/>
          <w:iCs/>
          <w:sz w:val="28"/>
          <w:szCs w:val="28"/>
        </w:rPr>
        <w:t>Форма ответа:</w:t>
      </w:r>
    </w:p>
    <w:p w14:paraId="13064C64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Сферы наиболее быстрого и эффективного потенциального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3AD4BBA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Примеры бизнес-моделей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A3F0FA3" w14:textId="77777777" w:rsidR="00C814DB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Потенциальные положительные эффекты и риски, связанные с внедрением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токенизации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финансового рынка и бизнеса. </w:t>
      </w:r>
    </w:p>
    <w:p w14:paraId="4047BDCD" w14:textId="77777777" w:rsidR="00C814DB" w:rsidRPr="00296017" w:rsidRDefault="00C814DB" w:rsidP="00C81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краткие комментарии по каждому из указанных пунктов </w:t>
      </w:r>
      <w:r w:rsidRPr="003A4EAE">
        <w:rPr>
          <w:rFonts w:ascii="Times New Roman" w:hAnsi="Times New Roman" w:cs="Times New Roman"/>
          <w:sz w:val="28"/>
          <w:szCs w:val="28"/>
        </w:rPr>
        <w:t>- не более двух листов</w:t>
      </w:r>
      <w:r>
        <w:rPr>
          <w:rFonts w:ascii="Times New Roman" w:hAnsi="Times New Roman" w:cs="Times New Roman"/>
          <w:sz w:val="28"/>
          <w:szCs w:val="28"/>
        </w:rPr>
        <w:t xml:space="preserve">. Подготовьте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1-2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слайда для иллюстрации своих предложений. </w:t>
      </w:r>
    </w:p>
    <w:p w14:paraId="1B49364B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62B4A666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3.5. </w:t>
      </w:r>
      <w:r w:rsidRPr="00D23C29">
        <w:rPr>
          <w:color w:val="auto"/>
          <w:sz w:val="28"/>
          <w:szCs w:val="28"/>
        </w:rPr>
        <w:t>Для решения кейс</w:t>
      </w:r>
      <w:r>
        <w:rPr>
          <w:color w:val="auto"/>
          <w:sz w:val="28"/>
          <w:szCs w:val="28"/>
        </w:rPr>
        <w:t>ов</w:t>
      </w:r>
      <w:r w:rsidRPr="00D23C29">
        <w:rPr>
          <w:color w:val="auto"/>
          <w:sz w:val="28"/>
          <w:szCs w:val="28"/>
        </w:rPr>
        <w:t xml:space="preserve"> участники могут использовать любые источники информации,</w:t>
      </w:r>
      <w:r>
        <w:rPr>
          <w:color w:val="auto"/>
          <w:sz w:val="28"/>
          <w:szCs w:val="28"/>
        </w:rPr>
        <w:t xml:space="preserve"> </w:t>
      </w:r>
      <w:r w:rsidRPr="00D23C29">
        <w:rPr>
          <w:color w:val="auto"/>
          <w:sz w:val="28"/>
          <w:szCs w:val="28"/>
        </w:rPr>
        <w:t>но рекомендуется пользоваться достоверными и проверенными источниками, в</w:t>
      </w:r>
      <w:r>
        <w:rPr>
          <w:color w:val="auto"/>
          <w:sz w:val="28"/>
          <w:szCs w:val="28"/>
        </w:rPr>
        <w:t xml:space="preserve"> </w:t>
      </w:r>
      <w:r w:rsidRPr="00D23C29">
        <w:rPr>
          <w:color w:val="auto"/>
          <w:sz w:val="28"/>
          <w:szCs w:val="28"/>
        </w:rPr>
        <w:t>т</w:t>
      </w:r>
      <w:r>
        <w:rPr>
          <w:color w:val="auto"/>
          <w:sz w:val="28"/>
          <w:szCs w:val="28"/>
        </w:rPr>
        <w:t xml:space="preserve">ом </w:t>
      </w:r>
      <w:r w:rsidRPr="00D23C29">
        <w:rPr>
          <w:color w:val="auto"/>
          <w:sz w:val="28"/>
          <w:szCs w:val="28"/>
        </w:rPr>
        <w:t>ч</w:t>
      </w:r>
      <w:r>
        <w:rPr>
          <w:color w:val="auto"/>
          <w:sz w:val="28"/>
          <w:szCs w:val="28"/>
        </w:rPr>
        <w:t>исле</w:t>
      </w:r>
      <w:r w:rsidRPr="00D23C29">
        <w:rPr>
          <w:color w:val="auto"/>
          <w:sz w:val="28"/>
          <w:szCs w:val="28"/>
        </w:rPr>
        <w:t xml:space="preserve"> справочной литературой. Достоверными считаются сведения, публикуемые с</w:t>
      </w:r>
      <w:r>
        <w:rPr>
          <w:color w:val="auto"/>
          <w:sz w:val="28"/>
          <w:szCs w:val="28"/>
        </w:rPr>
        <w:t xml:space="preserve"> </w:t>
      </w:r>
      <w:r w:rsidRPr="00D23C29">
        <w:rPr>
          <w:color w:val="auto"/>
          <w:sz w:val="28"/>
          <w:szCs w:val="28"/>
        </w:rPr>
        <w:t>обязательной ссылкой</w:t>
      </w:r>
      <w:r>
        <w:rPr>
          <w:color w:val="auto"/>
          <w:sz w:val="28"/>
          <w:szCs w:val="28"/>
        </w:rPr>
        <w:t xml:space="preserve"> в презентации участников.</w:t>
      </w:r>
    </w:p>
    <w:p w14:paraId="47607803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5AE8E693" w14:textId="77777777" w:rsidR="00C814DB" w:rsidRPr="00D431E2" w:rsidRDefault="00C814DB" w:rsidP="00C814DB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</w:t>
      </w:r>
      <w:r w:rsidRPr="00D431E2">
        <w:t xml:space="preserve"> </w:t>
      </w:r>
      <w:r w:rsidRPr="00D431E2">
        <w:rPr>
          <w:b/>
          <w:bCs/>
          <w:color w:val="auto"/>
          <w:sz w:val="28"/>
          <w:szCs w:val="28"/>
        </w:rPr>
        <w:t>Оформление презентации</w:t>
      </w:r>
    </w:p>
    <w:p w14:paraId="33E28D4A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D431E2">
        <w:rPr>
          <w:color w:val="auto"/>
          <w:sz w:val="28"/>
          <w:szCs w:val="28"/>
        </w:rPr>
        <w:t>1. Объем презентации не должен превышать 10 слайдов (без учета титульного и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финального слайдов).</w:t>
      </w:r>
    </w:p>
    <w:p w14:paraId="15531B57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D431E2">
        <w:rPr>
          <w:color w:val="auto"/>
          <w:sz w:val="28"/>
          <w:szCs w:val="28"/>
        </w:rPr>
        <w:t>2. При подготовке презентации рекомендуется кратко</w:t>
      </w:r>
      <w:r w:rsidRPr="003A4EAE">
        <w:rPr>
          <w:color w:val="auto"/>
          <w:sz w:val="28"/>
          <w:szCs w:val="28"/>
        </w:rPr>
        <w:t>, но емко</w:t>
      </w:r>
      <w:r w:rsidRPr="00D431E2">
        <w:rPr>
          <w:color w:val="auto"/>
          <w:sz w:val="28"/>
          <w:szCs w:val="28"/>
        </w:rPr>
        <w:t xml:space="preserve"> изложить суть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предлагаем</w:t>
      </w:r>
      <w:r>
        <w:rPr>
          <w:color w:val="auto"/>
          <w:sz w:val="28"/>
          <w:szCs w:val="28"/>
        </w:rPr>
        <w:t>ых</w:t>
      </w:r>
      <w:r w:rsidRPr="00D431E2">
        <w:rPr>
          <w:color w:val="auto"/>
          <w:sz w:val="28"/>
          <w:szCs w:val="28"/>
        </w:rPr>
        <w:t xml:space="preserve"> решени</w:t>
      </w:r>
      <w:r>
        <w:rPr>
          <w:color w:val="auto"/>
          <w:sz w:val="28"/>
          <w:szCs w:val="28"/>
        </w:rPr>
        <w:t>й</w:t>
      </w:r>
      <w:r w:rsidRPr="00D431E2">
        <w:rPr>
          <w:color w:val="auto"/>
          <w:sz w:val="28"/>
          <w:szCs w:val="28"/>
        </w:rPr>
        <w:t>, прилагая соответствующие графические схемы,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элементы и таблицы, которые облегчают визуализацию информации.</w:t>
      </w:r>
    </w:p>
    <w:p w14:paraId="304C88B6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D431E2">
        <w:rPr>
          <w:color w:val="auto"/>
          <w:sz w:val="28"/>
          <w:szCs w:val="28"/>
        </w:rPr>
        <w:t>3. Презентация должна быть:</w:t>
      </w:r>
    </w:p>
    <w:p w14:paraId="03257920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D431E2">
        <w:rPr>
          <w:color w:val="auto"/>
          <w:sz w:val="28"/>
          <w:szCs w:val="28"/>
        </w:rPr>
        <w:t>нформативная (ключевая мысль понятна экспертам, добавлены тематические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фото/картинки (инфографика) для максимального визуального восприятия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информации);</w:t>
      </w:r>
    </w:p>
    <w:p w14:paraId="4FA46D48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ч</w:t>
      </w:r>
      <w:r w:rsidRPr="00D431E2">
        <w:rPr>
          <w:color w:val="auto"/>
          <w:sz w:val="28"/>
          <w:szCs w:val="28"/>
        </w:rPr>
        <w:t>итабельная (цвет фона не препятствует восприятию текста на экране,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используются буллиты, абзацы, нумерация для удобства восприятия,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одинаковые шрифты на всех слайдах, текст не окрашен в бледные или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«кислотные» цвета, минимальный цвет текста в презентации 16 кегль);</w:t>
      </w:r>
    </w:p>
    <w:p w14:paraId="720146E3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к</w:t>
      </w:r>
      <w:r w:rsidRPr="00D431E2">
        <w:rPr>
          <w:color w:val="auto"/>
          <w:sz w:val="28"/>
          <w:szCs w:val="28"/>
        </w:rPr>
        <w:t>онтрастная и выделенная (акцент на главной мысли, для этого цветом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выделяются выводы и итоги (увеличенный шрифт и др.);</w:t>
      </w:r>
    </w:p>
    <w:p w14:paraId="36095A3E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Pr="00D431E2">
        <w:rPr>
          <w:color w:val="auto"/>
          <w:sz w:val="28"/>
          <w:szCs w:val="28"/>
        </w:rPr>
        <w:t xml:space="preserve"> едином стиле (презентация с первого до последнего слайда должна быть в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>едином стиле);</w:t>
      </w:r>
    </w:p>
    <w:p w14:paraId="1FD7C608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и</w:t>
      </w:r>
      <w:r w:rsidRPr="00D431E2">
        <w:rPr>
          <w:color w:val="auto"/>
          <w:sz w:val="28"/>
          <w:szCs w:val="28"/>
        </w:rPr>
        <w:t>нтересная для самих участников (участники сами выбирают шаблон/дизайн</w:t>
      </w:r>
      <w:r>
        <w:rPr>
          <w:color w:val="auto"/>
          <w:sz w:val="28"/>
          <w:szCs w:val="28"/>
        </w:rPr>
        <w:t xml:space="preserve"> </w:t>
      </w:r>
      <w:r w:rsidRPr="00D431E2">
        <w:rPr>
          <w:color w:val="auto"/>
          <w:sz w:val="28"/>
          <w:szCs w:val="28"/>
        </w:rPr>
        <w:t xml:space="preserve">презентации при этом соблюдая общую структуру </w:t>
      </w:r>
      <w:r>
        <w:rPr>
          <w:color w:val="auto"/>
          <w:sz w:val="28"/>
          <w:szCs w:val="28"/>
        </w:rPr>
        <w:t>кейсов</w:t>
      </w:r>
      <w:r w:rsidRPr="00D431E2">
        <w:rPr>
          <w:color w:val="auto"/>
          <w:sz w:val="28"/>
          <w:szCs w:val="28"/>
        </w:rPr>
        <w:t>).</w:t>
      </w:r>
    </w:p>
    <w:p w14:paraId="33D4DBA7" w14:textId="77777777" w:rsidR="00C814DB" w:rsidRPr="00D431E2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07FB58BC" w14:textId="77777777" w:rsidR="00C814DB" w:rsidRPr="005E045F" w:rsidRDefault="00C814DB" w:rsidP="00C814DB">
      <w:pPr>
        <w:pStyle w:val="Default"/>
        <w:spacing w:line="360" w:lineRule="auto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5E045F">
        <w:rPr>
          <w:b/>
          <w:bCs/>
          <w:color w:val="auto"/>
          <w:sz w:val="28"/>
          <w:szCs w:val="28"/>
        </w:rPr>
        <w:t xml:space="preserve">. Порядок оценки </w:t>
      </w:r>
      <w:r>
        <w:rPr>
          <w:b/>
          <w:bCs/>
          <w:color w:val="auto"/>
          <w:sz w:val="28"/>
          <w:szCs w:val="28"/>
        </w:rPr>
        <w:t>кейсов</w:t>
      </w:r>
      <w:r w:rsidRPr="005E045F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5E045F">
        <w:rPr>
          <w:b/>
          <w:bCs/>
          <w:color w:val="auto"/>
          <w:sz w:val="28"/>
          <w:szCs w:val="28"/>
        </w:rPr>
        <w:t>Хакатона</w:t>
      </w:r>
      <w:proofErr w:type="spellEnd"/>
    </w:p>
    <w:p w14:paraId="5087C736" w14:textId="163191AE" w:rsidR="00C814DB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Pr="00720159">
        <w:rPr>
          <w:sz w:val="28"/>
          <w:szCs w:val="28"/>
        </w:rPr>
        <w:t xml:space="preserve">Для проведения организационных, информационных и иных процедур, связанных с проведением </w:t>
      </w:r>
      <w:proofErr w:type="spellStart"/>
      <w:r>
        <w:rPr>
          <w:sz w:val="28"/>
          <w:szCs w:val="28"/>
        </w:rPr>
        <w:t>Хакатона</w:t>
      </w:r>
      <w:proofErr w:type="spellEnd"/>
      <w:r>
        <w:rPr>
          <w:sz w:val="28"/>
          <w:szCs w:val="28"/>
        </w:rPr>
        <w:t>, организатором</w:t>
      </w:r>
      <w:r w:rsidRPr="00720159">
        <w:rPr>
          <w:sz w:val="28"/>
          <w:szCs w:val="28"/>
        </w:rPr>
        <w:t xml:space="preserve"> формиру</w:t>
      </w:r>
      <w:r>
        <w:rPr>
          <w:sz w:val="28"/>
          <w:szCs w:val="28"/>
        </w:rPr>
        <w:t>е</w:t>
      </w:r>
      <w:r w:rsidRPr="00720159">
        <w:rPr>
          <w:sz w:val="28"/>
          <w:szCs w:val="28"/>
        </w:rPr>
        <w:t>т</w:t>
      </w:r>
      <w:r>
        <w:rPr>
          <w:sz w:val="28"/>
          <w:szCs w:val="28"/>
        </w:rPr>
        <w:t>ся</w:t>
      </w:r>
      <w:r w:rsidRPr="00720159">
        <w:rPr>
          <w:sz w:val="28"/>
          <w:szCs w:val="28"/>
        </w:rPr>
        <w:t>: жюри, рабочая группа и апелляционная комиссия.</w:t>
      </w:r>
      <w:r>
        <w:rPr>
          <w:sz w:val="28"/>
          <w:szCs w:val="28"/>
        </w:rPr>
        <w:t xml:space="preserve"> Основные их обязанности приведены в разделе 4 Положения о проведении </w:t>
      </w:r>
      <w:r w:rsidR="00855553" w:rsidRPr="00C814DB">
        <w:rPr>
          <w:bCs/>
          <w:sz w:val="28"/>
          <w:szCs w:val="28"/>
        </w:rPr>
        <w:t>ХI</w:t>
      </w:r>
      <w:r w:rsidR="00855553" w:rsidRPr="00C814DB">
        <w:rPr>
          <w:bCs/>
          <w:sz w:val="28"/>
          <w:szCs w:val="28"/>
          <w:lang w:val="en-US"/>
        </w:rPr>
        <w:t>V</w:t>
      </w:r>
      <w:r w:rsidRPr="00720159">
        <w:rPr>
          <w:sz w:val="28"/>
          <w:szCs w:val="28"/>
        </w:rPr>
        <w:t xml:space="preserve"> Всероссийской студенческой олимпиады по экономике</w:t>
      </w:r>
      <w:r w:rsidR="00E1066D">
        <w:rPr>
          <w:sz w:val="28"/>
          <w:szCs w:val="28"/>
        </w:rPr>
        <w:t xml:space="preserve"> и м</w:t>
      </w:r>
      <w:r w:rsidRPr="00720159">
        <w:rPr>
          <w:sz w:val="28"/>
          <w:szCs w:val="28"/>
        </w:rPr>
        <w:t>енеджменту</w:t>
      </w:r>
      <w:r w:rsidR="00E1066D">
        <w:rPr>
          <w:sz w:val="28"/>
          <w:szCs w:val="28"/>
        </w:rPr>
        <w:t>.</w:t>
      </w:r>
    </w:p>
    <w:p w14:paraId="03F25530" w14:textId="77777777" w:rsidR="00C814DB" w:rsidRPr="005E045F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Pr="005E045F">
        <w:rPr>
          <w:sz w:val="28"/>
          <w:szCs w:val="28"/>
        </w:rPr>
        <w:t xml:space="preserve">Жюри в рамках организации и проведения </w:t>
      </w:r>
      <w:proofErr w:type="spellStart"/>
      <w:r w:rsidRPr="005E045F">
        <w:rPr>
          <w:sz w:val="28"/>
          <w:szCs w:val="28"/>
        </w:rPr>
        <w:t>Хакатона</w:t>
      </w:r>
      <w:proofErr w:type="spellEnd"/>
      <w:r w:rsidRPr="005E045F">
        <w:rPr>
          <w:sz w:val="28"/>
          <w:szCs w:val="28"/>
        </w:rPr>
        <w:t>:</w:t>
      </w:r>
    </w:p>
    <w:p w14:paraId="02BABB81" w14:textId="77777777" w:rsidR="00C814DB" w:rsidRPr="005E045F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5E045F">
        <w:rPr>
          <w:sz w:val="28"/>
          <w:szCs w:val="28"/>
        </w:rPr>
        <w:t xml:space="preserve">.2.1. Обеспечивает просмотр и оценивание </w:t>
      </w:r>
      <w:r>
        <w:rPr>
          <w:sz w:val="28"/>
          <w:szCs w:val="28"/>
        </w:rPr>
        <w:t xml:space="preserve">аннотаций решений кейсов и </w:t>
      </w:r>
      <w:r w:rsidRPr="005E045F">
        <w:rPr>
          <w:sz w:val="28"/>
          <w:szCs w:val="28"/>
        </w:rPr>
        <w:t>презентаций команд на основе установленных критериев и отбор команд к финальному этапу;</w:t>
      </w:r>
    </w:p>
    <w:p w14:paraId="50B7E5A8" w14:textId="77777777" w:rsidR="00C814DB" w:rsidRPr="007D2113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45F">
        <w:rPr>
          <w:sz w:val="28"/>
          <w:szCs w:val="28"/>
        </w:rPr>
        <w:t xml:space="preserve">.2.2. Устанавливает критерии оценивания </w:t>
      </w:r>
      <w:r w:rsidRPr="007D2113">
        <w:rPr>
          <w:sz w:val="28"/>
          <w:szCs w:val="28"/>
        </w:rPr>
        <w:t xml:space="preserve">решений кейсов и дополнительные номинации </w:t>
      </w:r>
      <w:proofErr w:type="spellStart"/>
      <w:r w:rsidRPr="007D2113">
        <w:rPr>
          <w:sz w:val="28"/>
          <w:szCs w:val="28"/>
        </w:rPr>
        <w:t>Хакатона</w:t>
      </w:r>
      <w:proofErr w:type="spellEnd"/>
      <w:r w:rsidRPr="007D2113">
        <w:rPr>
          <w:sz w:val="28"/>
          <w:szCs w:val="28"/>
        </w:rPr>
        <w:t>;</w:t>
      </w:r>
    </w:p>
    <w:p w14:paraId="39F234CD" w14:textId="77777777" w:rsidR="00C814DB" w:rsidRPr="005E045F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7D2113">
        <w:rPr>
          <w:sz w:val="28"/>
          <w:szCs w:val="28"/>
        </w:rPr>
        <w:t>5.2.3 Определяет победителей (в том числе абсолютного поб</w:t>
      </w:r>
      <w:r w:rsidRPr="005E045F">
        <w:rPr>
          <w:sz w:val="28"/>
          <w:szCs w:val="28"/>
        </w:rPr>
        <w:t xml:space="preserve">едителя) и призеров </w:t>
      </w:r>
      <w:proofErr w:type="spellStart"/>
      <w:r w:rsidRPr="005E045F">
        <w:rPr>
          <w:sz w:val="28"/>
          <w:szCs w:val="28"/>
        </w:rPr>
        <w:t>Хакатона</w:t>
      </w:r>
      <w:proofErr w:type="spellEnd"/>
      <w:r w:rsidRPr="005E045F">
        <w:rPr>
          <w:sz w:val="28"/>
          <w:szCs w:val="28"/>
        </w:rPr>
        <w:t>, а также победителей в номинациях (при их установлении).</w:t>
      </w:r>
    </w:p>
    <w:p w14:paraId="1BE073FE" w14:textId="77777777" w:rsidR="00C814DB" w:rsidRPr="005E045F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E045F">
        <w:rPr>
          <w:sz w:val="28"/>
          <w:szCs w:val="28"/>
        </w:rPr>
        <w:t xml:space="preserve">.3. Жюри оценивает решения участников по каждому кейсу по шкале от </w:t>
      </w:r>
      <w:r>
        <w:rPr>
          <w:sz w:val="28"/>
          <w:szCs w:val="28"/>
        </w:rPr>
        <w:t>0</w:t>
      </w:r>
      <w:r w:rsidRPr="005E045F">
        <w:rPr>
          <w:sz w:val="28"/>
          <w:szCs w:val="28"/>
        </w:rPr>
        <w:t xml:space="preserve"> до 5 баллов для каждого критерия:</w:t>
      </w:r>
    </w:p>
    <w:p w14:paraId="0CCE90BF" w14:textId="77777777" w:rsidR="00C814DB" w:rsidRPr="005E045F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>5</w:t>
      </w:r>
      <w:r w:rsidRPr="005E045F">
        <w:rPr>
          <w:sz w:val="28"/>
          <w:szCs w:val="28"/>
        </w:rPr>
        <w:t xml:space="preserve">.3.1. </w:t>
      </w:r>
      <w:r>
        <w:rPr>
          <w:sz w:val="28"/>
          <w:szCs w:val="28"/>
        </w:rPr>
        <w:t xml:space="preserve">Критерии оценки </w:t>
      </w:r>
      <w:r w:rsidRPr="005E045F">
        <w:rPr>
          <w:rStyle w:val="a7"/>
          <w:sz w:val="28"/>
          <w:szCs w:val="28"/>
          <w:shd w:val="clear" w:color="auto" w:fill="FFFFFF"/>
        </w:rPr>
        <w:t>навык</w:t>
      </w:r>
      <w:r>
        <w:rPr>
          <w:rStyle w:val="a7"/>
          <w:sz w:val="28"/>
          <w:szCs w:val="28"/>
          <w:shd w:val="clear" w:color="auto" w:fill="FFFFFF"/>
        </w:rPr>
        <w:t>ов</w:t>
      </w:r>
      <w:r w:rsidRPr="005E045F">
        <w:rPr>
          <w:rStyle w:val="a7"/>
          <w:sz w:val="28"/>
          <w:szCs w:val="28"/>
          <w:shd w:val="clear" w:color="auto" w:fill="FFFFFF"/>
        </w:rPr>
        <w:t xml:space="preserve"> работы с </w:t>
      </w:r>
      <w:r>
        <w:rPr>
          <w:rStyle w:val="a7"/>
          <w:sz w:val="28"/>
          <w:szCs w:val="28"/>
          <w:shd w:val="clear" w:color="auto" w:fill="FFFFFF"/>
        </w:rPr>
        <w:t xml:space="preserve">правовой, научной, справочной, специализированной </w:t>
      </w:r>
      <w:r w:rsidRPr="005E045F">
        <w:rPr>
          <w:rStyle w:val="a7"/>
          <w:sz w:val="28"/>
          <w:szCs w:val="28"/>
          <w:shd w:val="clear" w:color="auto" w:fill="FFFFFF"/>
        </w:rPr>
        <w:t xml:space="preserve">информацией и </w:t>
      </w:r>
      <w:r>
        <w:rPr>
          <w:rStyle w:val="a7"/>
          <w:sz w:val="28"/>
          <w:szCs w:val="28"/>
          <w:shd w:val="clear" w:color="auto" w:fill="FFFFFF"/>
        </w:rPr>
        <w:t xml:space="preserve">способности к ее </w:t>
      </w:r>
      <w:r w:rsidRPr="005E045F">
        <w:rPr>
          <w:rStyle w:val="a7"/>
          <w:sz w:val="28"/>
          <w:szCs w:val="28"/>
          <w:shd w:val="clear" w:color="auto" w:fill="FFFFFF"/>
        </w:rPr>
        <w:t>аналити</w:t>
      </w:r>
      <w:r>
        <w:rPr>
          <w:rStyle w:val="a7"/>
          <w:sz w:val="28"/>
          <w:szCs w:val="28"/>
          <w:shd w:val="clear" w:color="auto" w:fill="FFFFFF"/>
        </w:rPr>
        <w:t>ческой обработке</w:t>
      </w:r>
      <w:r w:rsidRPr="005E045F">
        <w:rPr>
          <w:rStyle w:val="a7"/>
          <w:sz w:val="28"/>
          <w:szCs w:val="28"/>
          <w:shd w:val="clear" w:color="auto" w:fill="FFFFFF"/>
        </w:rPr>
        <w:t xml:space="preserve"> (</w:t>
      </w:r>
      <w:proofErr w:type="spellStart"/>
      <w:r w:rsidRPr="005E045F">
        <w:rPr>
          <w:rStyle w:val="a7"/>
          <w:sz w:val="28"/>
          <w:szCs w:val="28"/>
          <w:shd w:val="clear" w:color="auto" w:fill="FFFFFF"/>
        </w:rPr>
        <w:t>hard</w:t>
      </w:r>
      <w:proofErr w:type="spellEnd"/>
      <w:r w:rsidRPr="005E045F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Pr="005E045F">
        <w:rPr>
          <w:rStyle w:val="a7"/>
          <w:sz w:val="28"/>
          <w:szCs w:val="28"/>
          <w:shd w:val="clear" w:color="auto" w:fill="FFFFFF"/>
        </w:rPr>
        <w:t>skills</w:t>
      </w:r>
      <w:proofErr w:type="spellEnd"/>
      <w:r w:rsidRPr="005E045F">
        <w:rPr>
          <w:rStyle w:val="a7"/>
          <w:sz w:val="28"/>
          <w:szCs w:val="28"/>
          <w:shd w:val="clear" w:color="auto" w:fill="FFFFFF"/>
        </w:rPr>
        <w:t>)</w:t>
      </w:r>
      <w:r>
        <w:rPr>
          <w:rStyle w:val="a7"/>
          <w:sz w:val="28"/>
          <w:szCs w:val="28"/>
          <w:shd w:val="clear" w:color="auto" w:fill="FFFFFF"/>
        </w:rPr>
        <w:t>:</w:t>
      </w:r>
    </w:p>
    <w:p w14:paraId="6B93AF13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- ч</w:t>
      </w:r>
      <w:r w:rsidRPr="00D94DEB">
        <w:rPr>
          <w:rStyle w:val="a7"/>
          <w:sz w:val="28"/>
          <w:szCs w:val="28"/>
          <w:shd w:val="clear" w:color="auto" w:fill="FFFFFF"/>
        </w:rPr>
        <w:t>еткость и аргументированность выводов и предложений</w:t>
      </w:r>
      <w:r>
        <w:rPr>
          <w:rStyle w:val="a7"/>
          <w:sz w:val="28"/>
          <w:szCs w:val="28"/>
          <w:shd w:val="clear" w:color="auto" w:fill="FFFFFF"/>
        </w:rPr>
        <w:t xml:space="preserve"> (20%);</w:t>
      </w:r>
    </w:p>
    <w:p w14:paraId="1BB054E1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- соответствие решений выданному заданию (20%);</w:t>
      </w:r>
    </w:p>
    <w:p w14:paraId="56B501A5" w14:textId="77777777" w:rsidR="00C814DB" w:rsidRPr="00D94DE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 xml:space="preserve">- </w:t>
      </w:r>
      <w:r w:rsidRPr="00D94DEB">
        <w:rPr>
          <w:rStyle w:val="a7"/>
          <w:sz w:val="28"/>
          <w:szCs w:val="28"/>
          <w:shd w:val="clear" w:color="auto" w:fill="FFFFFF"/>
        </w:rPr>
        <w:t>оригинальность и новизна решения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Pr="00D94DEB">
        <w:rPr>
          <w:rStyle w:val="a7"/>
          <w:sz w:val="28"/>
          <w:szCs w:val="28"/>
          <w:shd w:val="clear" w:color="auto" w:fill="FFFFFF"/>
        </w:rPr>
        <w:t>для российской экономики</w:t>
      </w:r>
      <w:r>
        <w:rPr>
          <w:rStyle w:val="a7"/>
          <w:sz w:val="28"/>
          <w:szCs w:val="28"/>
          <w:shd w:val="clear" w:color="auto" w:fill="FFFFFF"/>
        </w:rPr>
        <w:t xml:space="preserve"> (20%);</w:t>
      </w:r>
    </w:p>
    <w:p w14:paraId="790D02D6" w14:textId="592419EB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- п</w:t>
      </w:r>
      <w:r w:rsidRPr="00D94DEB">
        <w:rPr>
          <w:rStyle w:val="a7"/>
          <w:sz w:val="28"/>
          <w:szCs w:val="28"/>
          <w:shd w:val="clear" w:color="auto" w:fill="FFFFFF"/>
        </w:rPr>
        <w:t xml:space="preserve">рактическая реализуемость </w:t>
      </w:r>
      <w:r>
        <w:rPr>
          <w:rStyle w:val="a7"/>
          <w:sz w:val="28"/>
          <w:szCs w:val="28"/>
          <w:shd w:val="clear" w:color="auto" w:fill="FFFFFF"/>
        </w:rPr>
        <w:t>(15%);</w:t>
      </w:r>
    </w:p>
    <w:p w14:paraId="0332BB2A" w14:textId="77777777" w:rsidR="00C814DB" w:rsidRPr="00D94DE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- н</w:t>
      </w:r>
      <w:r w:rsidRPr="00BD7B79">
        <w:rPr>
          <w:rStyle w:val="a7"/>
          <w:sz w:val="28"/>
          <w:szCs w:val="28"/>
          <w:shd w:val="clear" w:color="auto" w:fill="FFFFFF"/>
        </w:rPr>
        <w:t>аличие конкретных примеров и оценка возможности их применения</w:t>
      </w:r>
      <w:r>
        <w:rPr>
          <w:rStyle w:val="a7"/>
          <w:sz w:val="28"/>
          <w:szCs w:val="28"/>
          <w:shd w:val="clear" w:color="auto" w:fill="FFFFFF"/>
        </w:rPr>
        <w:t xml:space="preserve"> (10%).</w:t>
      </w:r>
    </w:p>
    <w:p w14:paraId="4C42F1A1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5</w:t>
      </w:r>
      <w:r w:rsidRPr="005E045F">
        <w:rPr>
          <w:rStyle w:val="a7"/>
          <w:sz w:val="28"/>
          <w:szCs w:val="28"/>
          <w:shd w:val="clear" w:color="auto" w:fill="FFFFFF"/>
        </w:rPr>
        <w:t xml:space="preserve">.3.2. </w:t>
      </w:r>
      <w:r>
        <w:rPr>
          <w:sz w:val="28"/>
          <w:szCs w:val="28"/>
        </w:rPr>
        <w:t xml:space="preserve">Критерии оценки </w:t>
      </w:r>
      <w:r w:rsidRPr="005E045F">
        <w:rPr>
          <w:rStyle w:val="a7"/>
          <w:sz w:val="28"/>
          <w:szCs w:val="28"/>
          <w:shd w:val="clear" w:color="auto" w:fill="FFFFFF"/>
        </w:rPr>
        <w:t>навык</w:t>
      </w:r>
      <w:r>
        <w:rPr>
          <w:rStyle w:val="a7"/>
          <w:sz w:val="28"/>
          <w:szCs w:val="28"/>
          <w:shd w:val="clear" w:color="auto" w:fill="FFFFFF"/>
        </w:rPr>
        <w:t>ов</w:t>
      </w:r>
      <w:r w:rsidRPr="005E045F">
        <w:rPr>
          <w:rStyle w:val="a7"/>
          <w:sz w:val="28"/>
          <w:szCs w:val="28"/>
          <w:shd w:val="clear" w:color="auto" w:fill="FFFFFF"/>
        </w:rPr>
        <w:t xml:space="preserve"> общения и </w:t>
      </w:r>
      <w:r>
        <w:rPr>
          <w:rStyle w:val="a7"/>
          <w:sz w:val="28"/>
          <w:szCs w:val="28"/>
          <w:shd w:val="clear" w:color="auto" w:fill="FFFFFF"/>
        </w:rPr>
        <w:t xml:space="preserve">командного </w:t>
      </w:r>
      <w:r w:rsidRPr="005E045F">
        <w:rPr>
          <w:rStyle w:val="a7"/>
          <w:sz w:val="28"/>
          <w:szCs w:val="28"/>
          <w:shd w:val="clear" w:color="auto" w:fill="FFFFFF"/>
        </w:rPr>
        <w:t>взаимодействия (</w:t>
      </w:r>
      <w:proofErr w:type="spellStart"/>
      <w:r w:rsidRPr="005E045F">
        <w:rPr>
          <w:rStyle w:val="a7"/>
          <w:sz w:val="28"/>
          <w:szCs w:val="28"/>
          <w:shd w:val="clear" w:color="auto" w:fill="FFFFFF"/>
        </w:rPr>
        <w:t>soft</w:t>
      </w:r>
      <w:proofErr w:type="spellEnd"/>
      <w:r w:rsidRPr="005E045F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Pr="005E045F">
        <w:rPr>
          <w:rStyle w:val="a7"/>
          <w:sz w:val="28"/>
          <w:szCs w:val="28"/>
          <w:shd w:val="clear" w:color="auto" w:fill="FFFFFF"/>
        </w:rPr>
        <w:t>skills</w:t>
      </w:r>
      <w:proofErr w:type="spellEnd"/>
      <w:r w:rsidRPr="005E045F">
        <w:rPr>
          <w:rStyle w:val="a7"/>
          <w:sz w:val="28"/>
          <w:szCs w:val="28"/>
          <w:shd w:val="clear" w:color="auto" w:fill="FFFFFF"/>
        </w:rPr>
        <w:t>)</w:t>
      </w:r>
      <w:r>
        <w:rPr>
          <w:rStyle w:val="a7"/>
          <w:sz w:val="28"/>
          <w:szCs w:val="28"/>
          <w:shd w:val="clear" w:color="auto" w:fill="FFFFFF"/>
        </w:rPr>
        <w:t>:</w:t>
      </w:r>
    </w:p>
    <w:p w14:paraId="3F3C903F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 xml:space="preserve">- </w:t>
      </w:r>
      <w:r w:rsidRPr="009C69B2">
        <w:rPr>
          <w:rStyle w:val="a7"/>
          <w:sz w:val="28"/>
          <w:szCs w:val="28"/>
          <w:shd w:val="clear" w:color="auto" w:fill="FFFFFF"/>
        </w:rPr>
        <w:t>формат и оформление презентации</w:t>
      </w:r>
      <w:r>
        <w:rPr>
          <w:rStyle w:val="a7"/>
          <w:sz w:val="28"/>
          <w:szCs w:val="28"/>
          <w:shd w:val="clear" w:color="auto" w:fill="FFFFFF"/>
        </w:rPr>
        <w:t xml:space="preserve"> (5%);</w:t>
      </w:r>
    </w:p>
    <w:p w14:paraId="11769ACE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>-</w:t>
      </w:r>
      <w:r w:rsidRPr="009C69B2">
        <w:rPr>
          <w:rStyle w:val="a7"/>
          <w:sz w:val="28"/>
          <w:szCs w:val="28"/>
          <w:shd w:val="clear" w:color="auto" w:fill="FFFFFF"/>
        </w:rPr>
        <w:t xml:space="preserve"> навыки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Pr="009C69B2">
        <w:rPr>
          <w:rStyle w:val="a7"/>
          <w:sz w:val="28"/>
          <w:szCs w:val="28"/>
          <w:shd w:val="clear" w:color="auto" w:fill="FFFFFF"/>
        </w:rPr>
        <w:t>публичного выступления</w:t>
      </w:r>
      <w:r>
        <w:rPr>
          <w:rStyle w:val="a7"/>
          <w:sz w:val="28"/>
          <w:szCs w:val="28"/>
          <w:shd w:val="clear" w:color="auto" w:fill="FFFFFF"/>
        </w:rPr>
        <w:t xml:space="preserve"> и</w:t>
      </w:r>
      <w:r w:rsidRPr="009C69B2">
        <w:rPr>
          <w:rStyle w:val="a7"/>
          <w:sz w:val="28"/>
          <w:szCs w:val="28"/>
          <w:shd w:val="clear" w:color="auto" w:fill="FFFFFF"/>
        </w:rPr>
        <w:t xml:space="preserve"> качество </w:t>
      </w:r>
      <w:r>
        <w:rPr>
          <w:rStyle w:val="a7"/>
          <w:sz w:val="28"/>
          <w:szCs w:val="28"/>
          <w:shd w:val="clear" w:color="auto" w:fill="FFFFFF"/>
        </w:rPr>
        <w:t xml:space="preserve">устного </w:t>
      </w:r>
      <w:r w:rsidRPr="009C69B2">
        <w:rPr>
          <w:rStyle w:val="a7"/>
          <w:sz w:val="28"/>
          <w:szCs w:val="28"/>
          <w:shd w:val="clear" w:color="auto" w:fill="FFFFFF"/>
        </w:rPr>
        <w:t>доклада</w:t>
      </w:r>
      <w:r>
        <w:rPr>
          <w:rStyle w:val="a7"/>
          <w:sz w:val="28"/>
          <w:szCs w:val="28"/>
          <w:shd w:val="clear" w:color="auto" w:fill="FFFFFF"/>
        </w:rPr>
        <w:t xml:space="preserve"> (5%);</w:t>
      </w:r>
    </w:p>
    <w:p w14:paraId="0E1D831E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rStyle w:val="a7"/>
          <w:b w:val="0"/>
          <w:bCs w:val="0"/>
          <w:sz w:val="28"/>
          <w:szCs w:val="28"/>
          <w:shd w:val="clear" w:color="auto" w:fill="FFFFFF"/>
        </w:rPr>
      </w:pPr>
      <w:r>
        <w:rPr>
          <w:rStyle w:val="a7"/>
          <w:sz w:val="28"/>
          <w:szCs w:val="28"/>
          <w:shd w:val="clear" w:color="auto" w:fill="FFFFFF"/>
        </w:rPr>
        <w:t xml:space="preserve">- </w:t>
      </w:r>
      <w:r w:rsidRPr="009C69B2">
        <w:rPr>
          <w:rStyle w:val="a7"/>
          <w:sz w:val="28"/>
          <w:szCs w:val="28"/>
          <w:shd w:val="clear" w:color="auto" w:fill="FFFFFF"/>
        </w:rPr>
        <w:t>грамотность ответов на вопросы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Pr="009C69B2">
        <w:rPr>
          <w:rStyle w:val="a7"/>
          <w:sz w:val="28"/>
          <w:szCs w:val="28"/>
          <w:shd w:val="clear" w:color="auto" w:fill="FFFFFF"/>
        </w:rPr>
        <w:t xml:space="preserve">экспертов </w:t>
      </w:r>
      <w:r>
        <w:rPr>
          <w:rStyle w:val="a7"/>
          <w:sz w:val="28"/>
          <w:szCs w:val="28"/>
          <w:shd w:val="clear" w:color="auto" w:fill="FFFFFF"/>
        </w:rPr>
        <w:t>(5%).</w:t>
      </w:r>
    </w:p>
    <w:p w14:paraId="1D3BC4CE" w14:textId="0D6A175E" w:rsidR="00C814DB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Pr="005E04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Каждый критерий </w:t>
      </w:r>
      <w:r w:rsidRPr="005E045F">
        <w:rPr>
          <w:sz w:val="28"/>
          <w:szCs w:val="28"/>
        </w:rPr>
        <w:t>имеет вес</w:t>
      </w:r>
      <w:r>
        <w:rPr>
          <w:sz w:val="28"/>
          <w:szCs w:val="28"/>
        </w:rPr>
        <w:t xml:space="preserve"> (в %) в итоговой оценке кейса. Итоговая оценка каждого кейса определяется как сумма произведений оценок по критериям и соответствующих весов, деленных на 100% (максимальная оценка </w:t>
      </w:r>
      <w:r w:rsidR="00855553">
        <w:rPr>
          <w:sz w:val="28"/>
          <w:szCs w:val="28"/>
        </w:rPr>
        <w:t>–</w:t>
      </w:r>
      <w:r>
        <w:rPr>
          <w:sz w:val="28"/>
          <w:szCs w:val="28"/>
        </w:rPr>
        <w:t xml:space="preserve"> 5</w:t>
      </w:r>
      <w:r w:rsidR="008555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баллов). Итоговая оценка команды участника </w:t>
      </w:r>
      <w:proofErr w:type="spellStart"/>
      <w:r>
        <w:rPr>
          <w:sz w:val="28"/>
          <w:szCs w:val="28"/>
        </w:rPr>
        <w:t>Хакатона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представляет собой сумму оценок по четырем кейсам (максимальная оценка </w:t>
      </w:r>
      <w:r w:rsidR="00855553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  <w:r w:rsidR="00855553">
        <w:rPr>
          <w:sz w:val="28"/>
          <w:szCs w:val="28"/>
        </w:rPr>
        <w:t xml:space="preserve"> </w:t>
      </w:r>
      <w:r>
        <w:rPr>
          <w:sz w:val="28"/>
          <w:szCs w:val="28"/>
        </w:rPr>
        <w:t>баллов).</w:t>
      </w:r>
    </w:p>
    <w:p w14:paraId="18F9E170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AB28D3">
        <w:rPr>
          <w:rStyle w:val="a7"/>
          <w:sz w:val="28"/>
          <w:szCs w:val="28"/>
          <w:shd w:val="clear" w:color="auto" w:fill="FFFFFF"/>
        </w:rPr>
        <w:t xml:space="preserve">5.5. Оценка аннотаций решений и презентаций команд на предварительном этапе будет проводиться только по критериям </w:t>
      </w:r>
      <w:proofErr w:type="spellStart"/>
      <w:r w:rsidRPr="00AB28D3">
        <w:rPr>
          <w:rStyle w:val="a7"/>
          <w:sz w:val="28"/>
          <w:szCs w:val="28"/>
          <w:shd w:val="clear" w:color="auto" w:fill="FFFFFF"/>
        </w:rPr>
        <w:t>hard</w:t>
      </w:r>
      <w:proofErr w:type="spellEnd"/>
      <w:r w:rsidRPr="00AB28D3">
        <w:rPr>
          <w:rStyle w:val="a7"/>
          <w:sz w:val="28"/>
          <w:szCs w:val="28"/>
          <w:shd w:val="clear" w:color="auto" w:fill="FFFFFF"/>
        </w:rPr>
        <w:t xml:space="preserve"> </w:t>
      </w:r>
      <w:proofErr w:type="spellStart"/>
      <w:r w:rsidRPr="00AB28D3">
        <w:rPr>
          <w:rStyle w:val="a7"/>
          <w:sz w:val="28"/>
          <w:szCs w:val="28"/>
          <w:shd w:val="clear" w:color="auto" w:fill="FFFFFF"/>
        </w:rPr>
        <w:t>skills</w:t>
      </w:r>
      <w:proofErr w:type="spellEnd"/>
      <w:r>
        <w:rPr>
          <w:rStyle w:val="a7"/>
          <w:sz w:val="28"/>
          <w:szCs w:val="28"/>
          <w:shd w:val="clear" w:color="auto" w:fill="FFFFFF"/>
        </w:rPr>
        <w:t xml:space="preserve"> без учета весовых коэффициентов критериев.</w:t>
      </w:r>
    </w:p>
    <w:p w14:paraId="454A4DEB" w14:textId="0D1E6AAE" w:rsidR="00C814DB" w:rsidRPr="003D73B7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D73B7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3D73B7">
        <w:rPr>
          <w:sz w:val="28"/>
          <w:szCs w:val="28"/>
        </w:rPr>
        <w:t xml:space="preserve">. </w:t>
      </w:r>
      <w:bookmarkStart w:id="0" w:name="_Hlk96091986"/>
      <w:r>
        <w:rPr>
          <w:sz w:val="28"/>
          <w:szCs w:val="28"/>
        </w:rPr>
        <w:t>Форма о</w:t>
      </w:r>
      <w:r w:rsidRPr="003D73B7">
        <w:rPr>
          <w:sz w:val="28"/>
          <w:szCs w:val="28"/>
        </w:rPr>
        <w:t>ценочн</w:t>
      </w:r>
      <w:r>
        <w:rPr>
          <w:sz w:val="28"/>
          <w:szCs w:val="28"/>
        </w:rPr>
        <w:t>ого</w:t>
      </w:r>
      <w:r w:rsidRPr="003D73B7">
        <w:rPr>
          <w:sz w:val="28"/>
          <w:szCs w:val="28"/>
        </w:rPr>
        <w:t xml:space="preserve"> лист</w:t>
      </w:r>
      <w:r>
        <w:rPr>
          <w:sz w:val="28"/>
          <w:szCs w:val="28"/>
        </w:rPr>
        <w:t>а</w:t>
      </w:r>
      <w:r w:rsidRPr="003D73B7">
        <w:rPr>
          <w:sz w:val="28"/>
          <w:szCs w:val="28"/>
        </w:rPr>
        <w:t xml:space="preserve"> эксперта </w:t>
      </w:r>
      <w:proofErr w:type="spellStart"/>
      <w:r w:rsidRPr="003D73B7">
        <w:rPr>
          <w:sz w:val="28"/>
          <w:szCs w:val="28"/>
        </w:rPr>
        <w:t>Хакатона</w:t>
      </w:r>
      <w:proofErr w:type="spellEnd"/>
      <w:r w:rsidRPr="003D73B7">
        <w:rPr>
          <w:sz w:val="28"/>
          <w:szCs w:val="28"/>
        </w:rPr>
        <w:t xml:space="preserve"> по развитию рынка краудфандинга в рамках проведения </w:t>
      </w:r>
      <w:r w:rsidR="00855553" w:rsidRPr="00C814DB">
        <w:rPr>
          <w:bCs/>
          <w:sz w:val="28"/>
          <w:szCs w:val="28"/>
        </w:rPr>
        <w:t>ХI</w:t>
      </w:r>
      <w:r w:rsidR="00855553" w:rsidRPr="00C814DB">
        <w:rPr>
          <w:bCs/>
          <w:sz w:val="28"/>
          <w:szCs w:val="28"/>
          <w:lang w:val="en-US"/>
        </w:rPr>
        <w:t>V</w:t>
      </w:r>
      <w:r w:rsidRPr="003D73B7">
        <w:rPr>
          <w:sz w:val="28"/>
          <w:szCs w:val="28"/>
        </w:rPr>
        <w:t xml:space="preserve"> Всероссийской студенческой олимпиады по экономике</w:t>
      </w:r>
      <w:r w:rsidR="00E1066D">
        <w:rPr>
          <w:sz w:val="28"/>
          <w:szCs w:val="28"/>
        </w:rPr>
        <w:t xml:space="preserve"> и </w:t>
      </w:r>
      <w:r w:rsidRPr="003D73B7">
        <w:rPr>
          <w:sz w:val="28"/>
          <w:szCs w:val="28"/>
        </w:rPr>
        <w:t>менеджмент</w:t>
      </w:r>
      <w:r w:rsidR="00E1066D">
        <w:rPr>
          <w:sz w:val="28"/>
          <w:szCs w:val="28"/>
        </w:rPr>
        <w:t xml:space="preserve">у: </w:t>
      </w:r>
    </w:p>
    <w:p w14:paraId="4E9C0E1B" w14:textId="77777777" w:rsidR="00C814DB" w:rsidRPr="005E045F" w:rsidRDefault="00C814DB" w:rsidP="00C814D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045F">
        <w:rPr>
          <w:rFonts w:ascii="Times New Roman" w:hAnsi="Times New Roman" w:cs="Times New Roman"/>
          <w:sz w:val="24"/>
          <w:szCs w:val="24"/>
        </w:rPr>
        <w:t>ФИО эксперта ___________________________________________________________</w:t>
      </w:r>
    </w:p>
    <w:p w14:paraId="53D60490" w14:textId="77777777" w:rsidR="00C814DB" w:rsidRPr="005E045F" w:rsidRDefault="00C814DB" w:rsidP="00C814D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45F">
        <w:rPr>
          <w:rFonts w:ascii="Times New Roman" w:hAnsi="Times New Roman" w:cs="Times New Roman"/>
          <w:sz w:val="24"/>
          <w:szCs w:val="24"/>
        </w:rPr>
        <w:t>Название команды ______________________________________________________</w:t>
      </w:r>
    </w:p>
    <w:tbl>
      <w:tblPr>
        <w:tblStyle w:val="a6"/>
        <w:tblW w:w="9620" w:type="dxa"/>
        <w:tblLook w:val="04A0" w:firstRow="1" w:lastRow="0" w:firstColumn="1" w:lastColumn="0" w:noHBand="0" w:noVBand="1"/>
      </w:tblPr>
      <w:tblGrid>
        <w:gridCol w:w="562"/>
        <w:gridCol w:w="3261"/>
        <w:gridCol w:w="992"/>
        <w:gridCol w:w="993"/>
        <w:gridCol w:w="992"/>
        <w:gridCol w:w="992"/>
        <w:gridCol w:w="1828"/>
      </w:tblGrid>
      <w:tr w:rsidR="00C814DB" w:rsidRPr="005E045F" w14:paraId="77A0EF8C" w14:textId="77777777" w:rsidTr="00667EE2">
        <w:tc>
          <w:tcPr>
            <w:tcW w:w="562" w:type="dxa"/>
            <w:vMerge w:val="restart"/>
          </w:tcPr>
          <w:p w14:paraId="5479F196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vMerge w:val="restart"/>
          </w:tcPr>
          <w:p w14:paraId="6535E932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3969" w:type="dxa"/>
            <w:gridSpan w:val="4"/>
          </w:tcPr>
          <w:p w14:paraId="60401DF8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критерия по шкале от 0 до 5 баллов</w:t>
            </w:r>
          </w:p>
        </w:tc>
        <w:tc>
          <w:tcPr>
            <w:tcW w:w="1828" w:type="dxa"/>
            <w:vMerge w:val="restart"/>
          </w:tcPr>
          <w:p w14:paraId="16CAA822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Весовой коэффициент критерия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%</w:t>
            </w:r>
          </w:p>
        </w:tc>
      </w:tr>
      <w:tr w:rsidR="00C814DB" w:rsidRPr="005E045F" w14:paraId="2C4940EF" w14:textId="77777777" w:rsidTr="00667EE2">
        <w:tc>
          <w:tcPr>
            <w:tcW w:w="562" w:type="dxa"/>
            <w:vMerge/>
          </w:tcPr>
          <w:p w14:paraId="7412CDD6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14:paraId="106F6DE0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D6E9D7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Кейс 1</w:t>
            </w:r>
          </w:p>
        </w:tc>
        <w:tc>
          <w:tcPr>
            <w:tcW w:w="993" w:type="dxa"/>
          </w:tcPr>
          <w:p w14:paraId="58D5B12C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Кейс 2</w:t>
            </w:r>
          </w:p>
        </w:tc>
        <w:tc>
          <w:tcPr>
            <w:tcW w:w="992" w:type="dxa"/>
          </w:tcPr>
          <w:p w14:paraId="18FADD8C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Кейс 3</w:t>
            </w:r>
          </w:p>
        </w:tc>
        <w:tc>
          <w:tcPr>
            <w:tcW w:w="992" w:type="dxa"/>
          </w:tcPr>
          <w:p w14:paraId="6B12014C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45F">
              <w:rPr>
                <w:rFonts w:ascii="Times New Roman" w:hAnsi="Times New Roman" w:cs="Times New Roman"/>
                <w:sz w:val="24"/>
                <w:szCs w:val="24"/>
              </w:rPr>
              <w:t>Кейс 4</w:t>
            </w:r>
          </w:p>
        </w:tc>
        <w:tc>
          <w:tcPr>
            <w:tcW w:w="1828" w:type="dxa"/>
            <w:vMerge/>
          </w:tcPr>
          <w:p w14:paraId="2CC8BEB7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DB" w:rsidRPr="005E045F" w14:paraId="1FE282BA" w14:textId="77777777" w:rsidTr="00855553">
        <w:tc>
          <w:tcPr>
            <w:tcW w:w="562" w:type="dxa"/>
            <w:vAlign w:val="center"/>
          </w:tcPr>
          <w:p w14:paraId="114CCB1F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A1923E0" w14:textId="77777777" w:rsidR="00C814DB" w:rsidRPr="003D73B7" w:rsidRDefault="00C814DB" w:rsidP="0085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7">
              <w:rPr>
                <w:rFonts w:ascii="Times New Roman" w:hAnsi="Times New Roman" w:cs="Times New Roman"/>
                <w:sz w:val="24"/>
                <w:szCs w:val="24"/>
              </w:rPr>
              <w:t>Четкость и аргументированность выводов и предложений</w:t>
            </w:r>
          </w:p>
        </w:tc>
        <w:tc>
          <w:tcPr>
            <w:tcW w:w="992" w:type="dxa"/>
          </w:tcPr>
          <w:p w14:paraId="41822A62" w14:textId="77777777" w:rsidR="00C814DB" w:rsidRPr="007B0B8C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9A0BB8E" w14:textId="77777777" w:rsidR="00C814DB" w:rsidRPr="007B0B8C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481B23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4604C6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43211D2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4DB" w:rsidRPr="005E045F" w14:paraId="59A4A679" w14:textId="77777777" w:rsidTr="00855553">
        <w:tc>
          <w:tcPr>
            <w:tcW w:w="562" w:type="dxa"/>
            <w:vAlign w:val="center"/>
          </w:tcPr>
          <w:p w14:paraId="4FBDE074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589589" w14:textId="77777777" w:rsidR="00C814DB" w:rsidRPr="003D73B7" w:rsidRDefault="00C814DB" w:rsidP="00855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3B7">
              <w:rPr>
                <w:rFonts w:ascii="Times New Roman" w:hAnsi="Times New Roman" w:cs="Times New Roman"/>
                <w:sz w:val="24"/>
                <w:szCs w:val="24"/>
              </w:rPr>
              <w:t>Соответствие решений выданному заданию</w:t>
            </w:r>
          </w:p>
        </w:tc>
        <w:tc>
          <w:tcPr>
            <w:tcW w:w="992" w:type="dxa"/>
          </w:tcPr>
          <w:p w14:paraId="5B6D88FA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42CC15B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26E11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C4549E2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4930366C" w14:textId="77777777" w:rsidR="00C814DB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4DB" w:rsidRPr="005E045F" w14:paraId="5B43B0FD" w14:textId="77777777" w:rsidTr="00855553">
        <w:tc>
          <w:tcPr>
            <w:tcW w:w="562" w:type="dxa"/>
            <w:vAlign w:val="center"/>
          </w:tcPr>
          <w:p w14:paraId="1C93569C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5B6E72AA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Оригинальность и новизна решения</w:t>
            </w:r>
          </w:p>
        </w:tc>
        <w:tc>
          <w:tcPr>
            <w:tcW w:w="992" w:type="dxa"/>
          </w:tcPr>
          <w:p w14:paraId="3731D55A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D29F43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4347E57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DFC7DD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40035794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14DB" w:rsidRPr="005E045F" w14:paraId="53E2FCDE" w14:textId="77777777" w:rsidTr="00855553">
        <w:tc>
          <w:tcPr>
            <w:tcW w:w="562" w:type="dxa"/>
            <w:vAlign w:val="center"/>
          </w:tcPr>
          <w:p w14:paraId="4EE9CD26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A701294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Практическая реализуемость</w:t>
            </w:r>
          </w:p>
        </w:tc>
        <w:tc>
          <w:tcPr>
            <w:tcW w:w="992" w:type="dxa"/>
          </w:tcPr>
          <w:p w14:paraId="3885A78F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79F316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36F808A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A2F730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1F1CA1A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814DB" w:rsidRPr="005E045F" w14:paraId="7CFD0996" w14:textId="77777777" w:rsidTr="00855553">
        <w:tc>
          <w:tcPr>
            <w:tcW w:w="562" w:type="dxa"/>
            <w:vAlign w:val="center"/>
          </w:tcPr>
          <w:p w14:paraId="460BBE0B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B868D54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Наличие конкретных примеров и оценка возможности их применения</w:t>
            </w:r>
          </w:p>
        </w:tc>
        <w:tc>
          <w:tcPr>
            <w:tcW w:w="992" w:type="dxa"/>
          </w:tcPr>
          <w:p w14:paraId="03E8A77C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F6DFCF8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8E5D0F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594CD4F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289526C5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814DB" w:rsidRPr="005E045F" w14:paraId="0B46FF79" w14:textId="77777777" w:rsidTr="00855553">
        <w:tc>
          <w:tcPr>
            <w:tcW w:w="562" w:type="dxa"/>
            <w:vAlign w:val="center"/>
          </w:tcPr>
          <w:p w14:paraId="1265BE46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44143CB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Формат и оформление презентации</w:t>
            </w:r>
          </w:p>
        </w:tc>
        <w:tc>
          <w:tcPr>
            <w:tcW w:w="992" w:type="dxa"/>
          </w:tcPr>
          <w:p w14:paraId="36D29DB6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8F91639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D67103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BA2D92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70731DB1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4DB" w:rsidRPr="005E045F" w14:paraId="6B10F0BD" w14:textId="77777777" w:rsidTr="00855553">
        <w:tc>
          <w:tcPr>
            <w:tcW w:w="562" w:type="dxa"/>
            <w:vAlign w:val="center"/>
          </w:tcPr>
          <w:p w14:paraId="3DC37549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E77516E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Качество устного доклада</w:t>
            </w:r>
          </w:p>
        </w:tc>
        <w:tc>
          <w:tcPr>
            <w:tcW w:w="992" w:type="dxa"/>
          </w:tcPr>
          <w:p w14:paraId="127BAF9F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0D2541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5AF4D2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6EFDB2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14:paraId="5A077499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4DB" w:rsidRPr="005E045F" w14:paraId="33B94F05" w14:textId="77777777" w:rsidTr="00855553">
        <w:tc>
          <w:tcPr>
            <w:tcW w:w="562" w:type="dxa"/>
            <w:vAlign w:val="center"/>
          </w:tcPr>
          <w:p w14:paraId="03F076BA" w14:textId="77777777" w:rsidR="00C814DB" w:rsidRPr="003D73B7" w:rsidRDefault="00C814DB" w:rsidP="0085555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B077EFC" w14:textId="77777777" w:rsidR="00C814DB" w:rsidRPr="00855553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5553">
              <w:rPr>
                <w:rStyle w:val="a7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Грамотность и полнота ответов на вопросы экспертов</w:t>
            </w:r>
          </w:p>
        </w:tc>
        <w:tc>
          <w:tcPr>
            <w:tcW w:w="992" w:type="dxa"/>
          </w:tcPr>
          <w:p w14:paraId="299F52FA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3F1AF5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FFA168C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3FE820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76B909C9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814DB" w:rsidRPr="005E045F" w14:paraId="32579B3B" w14:textId="77777777" w:rsidTr="00855553">
        <w:tc>
          <w:tcPr>
            <w:tcW w:w="562" w:type="dxa"/>
            <w:vAlign w:val="center"/>
          </w:tcPr>
          <w:p w14:paraId="671934FA" w14:textId="77777777" w:rsidR="00C814DB" w:rsidRPr="005E045F" w:rsidRDefault="00C814DB" w:rsidP="0085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D124392" w14:textId="77777777" w:rsidR="00C814DB" w:rsidRPr="003D73B7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кейсам</w:t>
            </w:r>
          </w:p>
        </w:tc>
        <w:tc>
          <w:tcPr>
            <w:tcW w:w="992" w:type="dxa"/>
          </w:tcPr>
          <w:p w14:paraId="50B70F54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D3FACF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449A340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808B61A" w14:textId="77777777" w:rsidR="00C814DB" w:rsidRPr="005E045F" w:rsidRDefault="00C814DB" w:rsidP="00667E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3ED3FF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4DB" w:rsidRPr="005E045F" w14:paraId="73A4C12A" w14:textId="77777777" w:rsidTr="00855553">
        <w:tc>
          <w:tcPr>
            <w:tcW w:w="562" w:type="dxa"/>
            <w:vAlign w:val="center"/>
          </w:tcPr>
          <w:p w14:paraId="65EAE5BF" w14:textId="77777777" w:rsidR="00C814DB" w:rsidRPr="005E045F" w:rsidRDefault="00C814DB" w:rsidP="008555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F7CBCE1" w14:textId="77777777" w:rsidR="00C814DB" w:rsidRPr="003D73B7" w:rsidRDefault="00C814DB" w:rsidP="008555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3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Общий итог</w:t>
            </w:r>
          </w:p>
        </w:tc>
        <w:tc>
          <w:tcPr>
            <w:tcW w:w="3969" w:type="dxa"/>
            <w:gridSpan w:val="4"/>
            <w:tcBorders>
              <w:right w:val="single" w:sz="4" w:space="0" w:color="auto"/>
            </w:tcBorders>
          </w:tcPr>
          <w:p w14:paraId="6F67048A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260543" w14:textId="77777777" w:rsidR="00C814DB" w:rsidRPr="005E045F" w:rsidRDefault="00C814DB" w:rsidP="00667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9362B2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14:paraId="3B3DF2A6" w14:textId="69C8A339" w:rsidR="00C814DB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D431E2">
        <w:rPr>
          <w:color w:val="auto"/>
          <w:sz w:val="28"/>
          <w:szCs w:val="28"/>
        </w:rPr>
        <w:t>5.</w:t>
      </w:r>
      <w:r>
        <w:rPr>
          <w:color w:val="auto"/>
          <w:sz w:val="28"/>
          <w:szCs w:val="28"/>
        </w:rPr>
        <w:t>7</w:t>
      </w:r>
      <w:r w:rsidRPr="00D431E2">
        <w:rPr>
          <w:color w:val="auto"/>
          <w:sz w:val="28"/>
          <w:szCs w:val="28"/>
        </w:rPr>
        <w:t xml:space="preserve">. </w:t>
      </w:r>
      <w:r w:rsidRPr="00D431E2">
        <w:rPr>
          <w:sz w:val="28"/>
          <w:szCs w:val="28"/>
        </w:rPr>
        <w:t xml:space="preserve">Решение жюри оформляется протоколом. В течение </w:t>
      </w:r>
      <w:r>
        <w:rPr>
          <w:sz w:val="28"/>
          <w:szCs w:val="28"/>
        </w:rPr>
        <w:t xml:space="preserve">одного рабочего дня </w:t>
      </w:r>
      <w:r w:rsidRPr="00D431E2">
        <w:rPr>
          <w:sz w:val="28"/>
          <w:szCs w:val="28"/>
        </w:rPr>
        <w:t xml:space="preserve">после проведения </w:t>
      </w:r>
      <w:proofErr w:type="spellStart"/>
      <w:r>
        <w:rPr>
          <w:sz w:val="28"/>
          <w:szCs w:val="28"/>
        </w:rPr>
        <w:t>Хакатона</w:t>
      </w:r>
      <w:proofErr w:type="spellEnd"/>
      <w:r w:rsidRPr="00D43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рабочая группа передает результаты Оргкомитету </w:t>
      </w:r>
      <w:r w:rsidR="00855553" w:rsidRPr="00C814DB">
        <w:rPr>
          <w:bCs/>
          <w:sz w:val="28"/>
          <w:szCs w:val="28"/>
        </w:rPr>
        <w:t>ХI</w:t>
      </w:r>
      <w:r w:rsidR="00855553" w:rsidRPr="00C814DB">
        <w:rPr>
          <w:bCs/>
          <w:sz w:val="28"/>
          <w:szCs w:val="28"/>
          <w:lang w:val="en-US"/>
        </w:rPr>
        <w:t>V</w:t>
      </w:r>
      <w:r w:rsidRPr="00B44880">
        <w:rPr>
          <w:sz w:val="28"/>
          <w:szCs w:val="28"/>
        </w:rPr>
        <w:t xml:space="preserve"> Всероссийской студенческой олимпиады по экономике</w:t>
      </w:r>
      <w:r w:rsidR="00E1066D">
        <w:rPr>
          <w:sz w:val="28"/>
          <w:szCs w:val="28"/>
        </w:rPr>
        <w:t xml:space="preserve"> и </w:t>
      </w:r>
      <w:r w:rsidRPr="00B44880">
        <w:rPr>
          <w:sz w:val="28"/>
          <w:szCs w:val="28"/>
        </w:rPr>
        <w:t>менеджменту</w:t>
      </w:r>
      <w:r w:rsidRPr="00D431E2">
        <w:rPr>
          <w:sz w:val="28"/>
          <w:szCs w:val="28"/>
        </w:rPr>
        <w:t>.</w:t>
      </w:r>
    </w:p>
    <w:p w14:paraId="1BB3CAE5" w14:textId="77777777" w:rsidR="00855553" w:rsidRDefault="00855553" w:rsidP="00C814DB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14:paraId="529295AF" w14:textId="679D618A" w:rsidR="00C814DB" w:rsidRPr="00230E76" w:rsidRDefault="00C814DB" w:rsidP="00C814DB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30E76">
        <w:rPr>
          <w:b/>
          <w:bCs/>
          <w:sz w:val="28"/>
          <w:szCs w:val="28"/>
        </w:rPr>
        <w:t>6. Состав жюри</w:t>
      </w:r>
    </w:p>
    <w:p w14:paraId="5C852A12" w14:textId="75BEE306" w:rsidR="00C814DB" w:rsidRPr="00230E76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E76">
        <w:rPr>
          <w:sz w:val="28"/>
          <w:szCs w:val="28"/>
        </w:rPr>
        <w:t xml:space="preserve">Степанова </w:t>
      </w:r>
      <w:proofErr w:type="gramStart"/>
      <w:r w:rsidRPr="00230E76">
        <w:rPr>
          <w:sz w:val="28"/>
          <w:szCs w:val="28"/>
        </w:rPr>
        <w:t>Е.О.</w:t>
      </w:r>
      <w:proofErr w:type="gramEnd"/>
      <w:r w:rsidRPr="00230E76">
        <w:rPr>
          <w:sz w:val="28"/>
          <w:szCs w:val="28"/>
        </w:rPr>
        <w:t>, ректор ЯГТУ, к.э.н., доцент – председатель жюри;</w:t>
      </w:r>
    </w:p>
    <w:p w14:paraId="7BABEA06" w14:textId="77777777" w:rsidR="00C814DB" w:rsidRPr="00230E76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230E76">
        <w:rPr>
          <w:sz w:val="28"/>
          <w:szCs w:val="28"/>
        </w:rPr>
        <w:t>Тимоничева</w:t>
      </w:r>
      <w:proofErr w:type="spellEnd"/>
      <w:r w:rsidRPr="00230E76">
        <w:rPr>
          <w:sz w:val="28"/>
          <w:szCs w:val="28"/>
        </w:rPr>
        <w:t xml:space="preserve"> </w:t>
      </w:r>
      <w:proofErr w:type="gramStart"/>
      <w:r w:rsidRPr="00230E76">
        <w:rPr>
          <w:sz w:val="28"/>
          <w:szCs w:val="28"/>
        </w:rPr>
        <w:t>И.Н.</w:t>
      </w:r>
      <w:proofErr w:type="gramEnd"/>
      <w:r w:rsidRPr="00230E76">
        <w:rPr>
          <w:sz w:val="28"/>
          <w:szCs w:val="28"/>
        </w:rPr>
        <w:t>, заместитель начальника ГУ Банка России по Центральному федеральному округу;</w:t>
      </w:r>
    </w:p>
    <w:p w14:paraId="0D3DE131" w14:textId="77777777" w:rsidR="00C814DB" w:rsidRPr="00230E76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E76">
        <w:rPr>
          <w:sz w:val="28"/>
          <w:szCs w:val="28"/>
        </w:rPr>
        <w:t xml:space="preserve">Бурмистрова </w:t>
      </w:r>
      <w:proofErr w:type="gramStart"/>
      <w:r w:rsidRPr="00230E76">
        <w:rPr>
          <w:sz w:val="28"/>
          <w:szCs w:val="28"/>
        </w:rPr>
        <w:t>Е.Н.</w:t>
      </w:r>
      <w:proofErr w:type="gramEnd"/>
      <w:r w:rsidRPr="00230E76">
        <w:rPr>
          <w:sz w:val="28"/>
          <w:szCs w:val="28"/>
        </w:rPr>
        <w:t>, заместитель управляющего Отделением по Ярославской области ГУ Банка России по Центральному федеральному округу;</w:t>
      </w:r>
    </w:p>
    <w:p w14:paraId="19F4D5C4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spellStart"/>
      <w:r w:rsidRPr="00230E76">
        <w:rPr>
          <w:sz w:val="28"/>
          <w:szCs w:val="28"/>
        </w:rPr>
        <w:t>Шабельский</w:t>
      </w:r>
      <w:proofErr w:type="spellEnd"/>
      <w:r w:rsidRPr="00230E76">
        <w:rPr>
          <w:sz w:val="28"/>
          <w:szCs w:val="28"/>
        </w:rPr>
        <w:t xml:space="preserve"> Я.В., главный эксперт Отдела регулирования платформенных сервисов Департамента инфраструктуры финансового рынка Банка России;</w:t>
      </w:r>
      <w:r w:rsidRPr="00230E76">
        <w:rPr>
          <w:color w:val="auto"/>
          <w:sz w:val="28"/>
          <w:szCs w:val="28"/>
        </w:rPr>
        <w:t xml:space="preserve"> </w:t>
      </w:r>
    </w:p>
    <w:p w14:paraId="60B9862F" w14:textId="5B7B6BE9" w:rsidR="00C814DB" w:rsidRPr="00230E76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E76">
        <w:rPr>
          <w:sz w:val="28"/>
          <w:szCs w:val="28"/>
        </w:rPr>
        <w:t xml:space="preserve">Косминский </w:t>
      </w:r>
      <w:proofErr w:type="gramStart"/>
      <w:r w:rsidRPr="00230E76">
        <w:rPr>
          <w:sz w:val="28"/>
          <w:szCs w:val="28"/>
        </w:rPr>
        <w:t>К.П.</w:t>
      </w:r>
      <w:proofErr w:type="gramEnd"/>
      <w:r w:rsidRPr="00230E76">
        <w:rPr>
          <w:sz w:val="28"/>
          <w:szCs w:val="28"/>
        </w:rPr>
        <w:t>, исполнительный директор Ассоциации операторов инвестиционных платформ;</w:t>
      </w:r>
    </w:p>
    <w:p w14:paraId="485DABF0" w14:textId="28E7B6BE" w:rsidR="00C814DB" w:rsidRPr="00230E76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E76">
        <w:rPr>
          <w:sz w:val="28"/>
          <w:szCs w:val="28"/>
        </w:rPr>
        <w:t xml:space="preserve">Колесников Ю.А., управляющий партнер инвестиционной платформы ООО «Мани </w:t>
      </w:r>
      <w:proofErr w:type="spellStart"/>
      <w:r w:rsidRPr="00230E76">
        <w:rPr>
          <w:sz w:val="28"/>
          <w:szCs w:val="28"/>
        </w:rPr>
        <w:t>Френдс</w:t>
      </w:r>
      <w:proofErr w:type="spellEnd"/>
      <w:r w:rsidRPr="00230E76">
        <w:rPr>
          <w:sz w:val="28"/>
          <w:szCs w:val="28"/>
        </w:rPr>
        <w:t xml:space="preserve">», </w:t>
      </w:r>
      <w:proofErr w:type="spellStart"/>
      <w:proofErr w:type="gramStart"/>
      <w:r w:rsidRPr="00230E76">
        <w:rPr>
          <w:sz w:val="28"/>
          <w:szCs w:val="28"/>
        </w:rPr>
        <w:t>зав.кафедрой</w:t>
      </w:r>
      <w:proofErr w:type="spellEnd"/>
      <w:proofErr w:type="gramEnd"/>
      <w:r w:rsidRPr="00230E76">
        <w:rPr>
          <w:sz w:val="28"/>
          <w:szCs w:val="28"/>
        </w:rPr>
        <w:t xml:space="preserve"> финансового права юридического факультета Южного федерального университета, доктор юридических наук, доцент;</w:t>
      </w:r>
    </w:p>
    <w:p w14:paraId="4C9A017C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30E76">
        <w:rPr>
          <w:sz w:val="28"/>
          <w:szCs w:val="28"/>
        </w:rPr>
        <w:t xml:space="preserve">Угрюмова </w:t>
      </w:r>
      <w:proofErr w:type="gramStart"/>
      <w:r w:rsidRPr="00230E76">
        <w:rPr>
          <w:sz w:val="28"/>
          <w:szCs w:val="28"/>
        </w:rPr>
        <w:t>М.А.</w:t>
      </w:r>
      <w:proofErr w:type="gramEnd"/>
      <w:r w:rsidRPr="00230E76">
        <w:rPr>
          <w:sz w:val="28"/>
          <w:szCs w:val="28"/>
        </w:rPr>
        <w:t>, директор института экономик</w:t>
      </w:r>
      <w:r>
        <w:rPr>
          <w:sz w:val="28"/>
          <w:szCs w:val="28"/>
        </w:rPr>
        <w:t>и и менеджмента, к.э.н., доцент.</w:t>
      </w:r>
    </w:p>
    <w:p w14:paraId="119AC323" w14:textId="77777777" w:rsidR="00855553" w:rsidRDefault="00855553" w:rsidP="00C814DB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14:paraId="37368DE5" w14:textId="5C5A5C7B" w:rsidR="00C814DB" w:rsidRPr="00247946" w:rsidRDefault="00C814DB" w:rsidP="00C814DB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247946">
        <w:rPr>
          <w:b/>
          <w:sz w:val="28"/>
          <w:szCs w:val="28"/>
        </w:rPr>
        <w:t>7. Контактная информация</w:t>
      </w:r>
      <w:r>
        <w:rPr>
          <w:b/>
          <w:sz w:val="28"/>
          <w:szCs w:val="28"/>
        </w:rPr>
        <w:t xml:space="preserve"> </w:t>
      </w:r>
    </w:p>
    <w:p w14:paraId="42EE62FB" w14:textId="77777777" w:rsidR="00C814DB" w:rsidRPr="00247946" w:rsidRDefault="00C814DB" w:rsidP="00C814DB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Адрес: </w:t>
      </w:r>
      <w:r w:rsidRPr="00247946">
        <w:rPr>
          <w:bCs/>
          <w:sz w:val="28"/>
          <w:szCs w:val="28"/>
        </w:rPr>
        <w:t>150023, г. Ярославль, Московский проспект, 88, ЯГТУ.</w:t>
      </w:r>
    </w:p>
    <w:p w14:paraId="4E581A63" w14:textId="77777777" w:rsidR="00C814DB" w:rsidRPr="00247946" w:rsidRDefault="00C814DB" w:rsidP="00C814DB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47946">
        <w:rPr>
          <w:bCs/>
          <w:sz w:val="28"/>
          <w:szCs w:val="28"/>
        </w:rPr>
        <w:t>Директор института экономики и менеджмента ЯГТУ, к.э.н., доцент Угрюмова Марина Александровна</w:t>
      </w:r>
    </w:p>
    <w:p w14:paraId="24F934B0" w14:textId="77777777" w:rsidR="00C814DB" w:rsidRPr="00247946" w:rsidRDefault="00C814DB" w:rsidP="00C814DB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247946">
        <w:rPr>
          <w:bCs/>
          <w:sz w:val="28"/>
          <w:szCs w:val="28"/>
        </w:rPr>
        <w:t>тел</w:t>
      </w:r>
      <w:r w:rsidRPr="00247946">
        <w:rPr>
          <w:bCs/>
          <w:sz w:val="28"/>
          <w:szCs w:val="28"/>
          <w:lang w:val="en-US"/>
        </w:rPr>
        <w:t>.: 8 (4852) 44-05-09 | e-mail: ugrumovama@ystu.ru</w:t>
      </w:r>
    </w:p>
    <w:p w14:paraId="07670CEC" w14:textId="77777777" w:rsidR="00C814DB" w:rsidRPr="00247946" w:rsidRDefault="00C814DB" w:rsidP="00C814DB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247946">
        <w:rPr>
          <w:bCs/>
          <w:sz w:val="28"/>
          <w:szCs w:val="28"/>
        </w:rPr>
        <w:lastRenderedPageBreak/>
        <w:t>Савичева Анна Николаевна, к.э.н., доцент</w:t>
      </w:r>
    </w:p>
    <w:p w14:paraId="17676A11" w14:textId="77777777" w:rsidR="00C814DB" w:rsidRDefault="00C814DB" w:rsidP="00C814DB">
      <w:pPr>
        <w:pStyle w:val="Default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247946">
        <w:rPr>
          <w:bCs/>
          <w:sz w:val="28"/>
          <w:szCs w:val="28"/>
        </w:rPr>
        <w:t>тел</w:t>
      </w:r>
      <w:r w:rsidRPr="00247946">
        <w:rPr>
          <w:bCs/>
          <w:sz w:val="28"/>
          <w:szCs w:val="28"/>
          <w:lang w:val="en-US"/>
        </w:rPr>
        <w:t>.: 8 910 828-11-45 | e-mail: savichevaan@ystu.ru</w:t>
      </w:r>
    </w:p>
    <w:p w14:paraId="37C2FDFE" w14:textId="77777777" w:rsidR="00257C6E" w:rsidRDefault="00257C6E" w:rsidP="00C814DB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755CC7B8" w14:textId="282E271E" w:rsidR="00C814DB" w:rsidRDefault="00C814DB" w:rsidP="00C814DB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  <w:r w:rsidRPr="00257C6E">
        <w:rPr>
          <w:b/>
          <w:bCs/>
          <w:color w:val="auto"/>
          <w:sz w:val="28"/>
          <w:szCs w:val="28"/>
        </w:rPr>
        <w:t xml:space="preserve">Регистрационные карты участников, материалы для предварительного этапа </w:t>
      </w:r>
      <w:proofErr w:type="spellStart"/>
      <w:r w:rsidRPr="00257C6E">
        <w:rPr>
          <w:b/>
          <w:bCs/>
          <w:color w:val="auto"/>
          <w:sz w:val="28"/>
          <w:szCs w:val="28"/>
        </w:rPr>
        <w:t>Хакатона</w:t>
      </w:r>
      <w:proofErr w:type="spellEnd"/>
      <w:r w:rsidRPr="00257C6E">
        <w:rPr>
          <w:b/>
          <w:bCs/>
          <w:color w:val="auto"/>
          <w:sz w:val="28"/>
          <w:szCs w:val="28"/>
        </w:rPr>
        <w:t xml:space="preserve"> необходимо отправлять </w:t>
      </w:r>
      <w:proofErr w:type="spellStart"/>
      <w:r w:rsidR="00257C6E" w:rsidRPr="00257C6E">
        <w:rPr>
          <w:b/>
          <w:bCs/>
          <w:color w:val="auto"/>
          <w:sz w:val="28"/>
          <w:szCs w:val="28"/>
        </w:rPr>
        <w:t>документоведу</w:t>
      </w:r>
      <w:proofErr w:type="spellEnd"/>
      <w:r w:rsidR="00257C6E" w:rsidRPr="00257C6E">
        <w:rPr>
          <w:b/>
          <w:bCs/>
          <w:color w:val="auto"/>
          <w:sz w:val="28"/>
          <w:szCs w:val="28"/>
        </w:rPr>
        <w:t xml:space="preserve"> Иорданской Светлане Владимировне на электронную почту</w:t>
      </w:r>
      <w:r w:rsidR="00257C6E" w:rsidRPr="00257C6E">
        <w:rPr>
          <w:color w:val="auto"/>
          <w:sz w:val="28"/>
          <w:szCs w:val="28"/>
        </w:rPr>
        <w:t>: iordanskayasv@ystu.ru</w:t>
      </w:r>
    </w:p>
    <w:p w14:paraId="09A402EE" w14:textId="77777777" w:rsidR="00257C6E" w:rsidRPr="007D2113" w:rsidRDefault="00257C6E" w:rsidP="00C814DB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14:paraId="0366CADE" w14:textId="022355F4" w:rsidR="00C814DB" w:rsidRDefault="00C814DB" w:rsidP="00C814DB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Информация по организации и проведению </w:t>
      </w:r>
      <w:proofErr w:type="spellStart"/>
      <w:r>
        <w:rPr>
          <w:color w:val="auto"/>
          <w:sz w:val="28"/>
          <w:szCs w:val="28"/>
        </w:rPr>
        <w:t>Хакатона</w:t>
      </w:r>
      <w:proofErr w:type="spellEnd"/>
      <w:r>
        <w:rPr>
          <w:color w:val="auto"/>
          <w:sz w:val="28"/>
          <w:szCs w:val="28"/>
        </w:rPr>
        <w:t>, ссылки на онлайн-лекции, результаты предварительного отбора, а также ответы на вопросы будут публиковаться</w:t>
      </w:r>
      <w:r w:rsidR="001E0180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en-US"/>
        </w:rPr>
        <w:t>Telegram</w:t>
      </w:r>
      <w:r>
        <w:rPr>
          <w:color w:val="auto"/>
          <w:sz w:val="28"/>
          <w:szCs w:val="28"/>
        </w:rPr>
        <w:t xml:space="preserve">-канале </w:t>
      </w:r>
      <w:proofErr w:type="spellStart"/>
      <w:r>
        <w:rPr>
          <w:color w:val="auto"/>
          <w:sz w:val="28"/>
          <w:szCs w:val="28"/>
        </w:rPr>
        <w:t>Хакатона</w:t>
      </w:r>
      <w:proofErr w:type="spellEnd"/>
      <w:r>
        <w:rPr>
          <w:color w:val="auto"/>
          <w:sz w:val="28"/>
          <w:szCs w:val="28"/>
        </w:rPr>
        <w:t>:</w:t>
      </w:r>
    </w:p>
    <w:p w14:paraId="19816537" w14:textId="77777777" w:rsidR="00C814DB" w:rsidRDefault="003A1C75" w:rsidP="00C814D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hyperlink r:id="rId7" w:history="1">
        <w:r w:rsidR="00C814DB" w:rsidRPr="008B659E">
          <w:rPr>
            <w:rStyle w:val="a8"/>
            <w:sz w:val="28"/>
            <w:szCs w:val="28"/>
          </w:rPr>
          <w:t>https://t.me/+z2Bq5-OyDYQ2NjUy</w:t>
        </w:r>
      </w:hyperlink>
    </w:p>
    <w:p w14:paraId="1414BC29" w14:textId="77777777" w:rsidR="00C814DB" w:rsidRPr="00247946" w:rsidRDefault="00C814DB" w:rsidP="00C814DB">
      <w:pPr>
        <w:pStyle w:val="Default"/>
        <w:spacing w:line="360" w:lineRule="auto"/>
        <w:jc w:val="center"/>
        <w:rPr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8327D0" wp14:editId="149B5C3D">
            <wp:extent cx="1177519" cy="1177519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4151" cy="1204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3C8EE" w14:textId="77777777" w:rsidR="00C814DB" w:rsidRDefault="00C814DB"/>
    <w:sectPr w:rsidR="00C814DB" w:rsidSect="00A7249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FBB4" w14:textId="77777777" w:rsidR="003A1C75" w:rsidRDefault="003A1C75">
      <w:pPr>
        <w:spacing w:after="0" w:line="240" w:lineRule="auto"/>
      </w:pPr>
      <w:r>
        <w:separator/>
      </w:r>
    </w:p>
  </w:endnote>
  <w:endnote w:type="continuationSeparator" w:id="0">
    <w:p w14:paraId="11A16C6C" w14:textId="77777777" w:rsidR="003A1C75" w:rsidRDefault="003A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36F6" w14:textId="77777777" w:rsidR="003A1C75" w:rsidRDefault="003A1C75">
      <w:pPr>
        <w:spacing w:after="0" w:line="240" w:lineRule="auto"/>
      </w:pPr>
      <w:r>
        <w:separator/>
      </w:r>
    </w:p>
  </w:footnote>
  <w:footnote w:type="continuationSeparator" w:id="0">
    <w:p w14:paraId="3020949D" w14:textId="77777777" w:rsidR="003A1C75" w:rsidRDefault="003A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9015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72E4570" w14:textId="77777777" w:rsidR="008823AF" w:rsidRPr="001616D7" w:rsidRDefault="00206907" w:rsidP="001616D7">
        <w:pPr>
          <w:pStyle w:val="a4"/>
          <w:jc w:val="center"/>
          <w:rPr>
            <w:rFonts w:ascii="Times New Roman" w:hAnsi="Times New Roman" w:cs="Times New Roman"/>
          </w:rPr>
        </w:pPr>
        <w:r w:rsidRPr="001616D7">
          <w:rPr>
            <w:rFonts w:ascii="Times New Roman" w:hAnsi="Times New Roman" w:cs="Times New Roman"/>
          </w:rPr>
          <w:fldChar w:fldCharType="begin"/>
        </w:r>
        <w:r w:rsidRPr="001616D7">
          <w:rPr>
            <w:rFonts w:ascii="Times New Roman" w:hAnsi="Times New Roman" w:cs="Times New Roman"/>
          </w:rPr>
          <w:instrText>PAGE   \* MERGEFORMAT</w:instrText>
        </w:r>
        <w:r w:rsidRPr="001616D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1616D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82E19"/>
    <w:multiLevelType w:val="hybridMultilevel"/>
    <w:tmpl w:val="251633D4"/>
    <w:lvl w:ilvl="0" w:tplc="ABEE3ED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DB"/>
    <w:rsid w:val="001E0180"/>
    <w:rsid w:val="00206907"/>
    <w:rsid w:val="00257C6E"/>
    <w:rsid w:val="00312FDF"/>
    <w:rsid w:val="003A1C75"/>
    <w:rsid w:val="00855553"/>
    <w:rsid w:val="00BD10C1"/>
    <w:rsid w:val="00C814DB"/>
    <w:rsid w:val="00E1066D"/>
    <w:rsid w:val="00E7776D"/>
    <w:rsid w:val="00F6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A694"/>
  <w15:chartTrackingRefBased/>
  <w15:docId w15:val="{1DD4CDDB-EFD7-4ECF-967E-F204594E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4DB"/>
    <w:pPr>
      <w:ind w:left="720"/>
      <w:contextualSpacing/>
    </w:pPr>
  </w:style>
  <w:style w:type="paragraph" w:customStyle="1" w:styleId="Default">
    <w:name w:val="Default"/>
    <w:rsid w:val="00C814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8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4DB"/>
  </w:style>
  <w:style w:type="table" w:styleId="a6">
    <w:name w:val="Table Grid"/>
    <w:basedOn w:val="a1"/>
    <w:uiPriority w:val="39"/>
    <w:unhideWhenUsed/>
    <w:rsid w:val="00C8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814DB"/>
    <w:rPr>
      <w:b/>
      <w:bCs/>
    </w:rPr>
  </w:style>
  <w:style w:type="character" w:styleId="a8">
    <w:name w:val="Hyperlink"/>
    <w:basedOn w:val="a0"/>
    <w:uiPriority w:val="99"/>
    <w:unhideWhenUsed/>
    <w:rsid w:val="00C814D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257C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t.me/+z2Bq5-OyDYQ2Nj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2954</Words>
  <Characters>16838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Шкиотов Сергей Владимирович</dc:creator>
  <cp:keywords/>
  <dc:description/>
  <cp:lastModifiedBy>Шкиотов Сергей Владимирович</cp:lastModifiedBy>
  <cp:revision>6</cp:revision>
  <dcterms:created xsi:type="dcterms:W3CDTF">2022-03-09T13:06:00Z</dcterms:created>
  <dcterms:modified xsi:type="dcterms:W3CDTF">2022-03-09T13:43:00Z</dcterms:modified>
</cp:coreProperties>
</file>